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7B060" w14:textId="77777777" w:rsidR="00733E89" w:rsidRDefault="00733E89">
      <w:pPr>
        <w:rPr>
          <w:rFonts w:cs="Arial"/>
        </w:rPr>
      </w:pP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758"/>
        <w:gridCol w:w="128"/>
        <w:gridCol w:w="3268"/>
        <w:gridCol w:w="1288"/>
        <w:gridCol w:w="3175"/>
        <w:gridCol w:w="886"/>
      </w:tblGrid>
      <w:tr w:rsidR="00733E89" w14:paraId="3EE0F6CE" w14:textId="77777777" w:rsidTr="00CA3BCF">
        <w:tc>
          <w:tcPr>
            <w:tcW w:w="10773" w:type="dxa"/>
            <w:gridSpan w:val="7"/>
          </w:tcPr>
          <w:p w14:paraId="30062825" w14:textId="77777777" w:rsidR="00733E89" w:rsidRDefault="00134FE7">
            <w:pPr>
              <w:pStyle w:val="Kopfzeile"/>
              <w:tabs>
                <w:tab w:val="clear" w:pos="4536"/>
                <w:tab w:val="clear" w:pos="9072"/>
              </w:tabs>
              <w:ind w:right="-6"/>
              <w:rPr>
                <w:rFonts w:cs="Arial"/>
                <w:b/>
                <w:bCs/>
                <w:color w:val="595959" w:themeColor="text1" w:themeTint="A6"/>
                <w:sz w:val="24"/>
                <w:szCs w:val="24"/>
              </w:rPr>
            </w:pPr>
            <w:r>
              <w:rPr>
                <w:rFonts w:cs="Arial"/>
                <w:b/>
                <w:bCs/>
                <w:color w:val="595959" w:themeColor="text1" w:themeTint="A6"/>
                <w:sz w:val="24"/>
                <w:szCs w:val="24"/>
              </w:rPr>
              <w:t>Argumentieren mit Karten der amtlichen Statistik im Erdkundeunterricht</w:t>
            </w:r>
          </w:p>
          <w:p w14:paraId="773EE20A" w14:textId="77777777" w:rsidR="00733E89" w:rsidRDefault="00134FE7">
            <w:pPr>
              <w:pStyle w:val="Kopfzeile"/>
              <w:rPr>
                <w:rFonts w:cs="Arial"/>
                <w:color w:val="595959" w:themeColor="text1" w:themeTint="A6"/>
                <w:sz w:val="24"/>
                <w:szCs w:val="24"/>
              </w:rPr>
            </w:pPr>
            <w:r>
              <w:rPr>
                <w:rFonts w:cs="Arial"/>
                <w:color w:val="595959" w:themeColor="text1" w:themeTint="A6"/>
                <w:sz w:val="24"/>
                <w:szCs w:val="24"/>
              </w:rPr>
              <w:t>Material für Lehrpersonen</w:t>
            </w:r>
          </w:p>
          <w:p w14:paraId="4272883A" w14:textId="77777777" w:rsidR="00733E89" w:rsidRDefault="00733E89">
            <w:pPr>
              <w:pStyle w:val="Kopfzeile"/>
              <w:rPr>
                <w:rFonts w:cs="Arial"/>
                <w:color w:val="595959" w:themeColor="text1" w:themeTint="A6"/>
                <w:sz w:val="24"/>
                <w:szCs w:val="24"/>
              </w:rPr>
            </w:pPr>
          </w:p>
        </w:tc>
      </w:tr>
      <w:tr w:rsidR="00733E89" w14:paraId="1BE34CB3" w14:textId="77777777" w:rsidTr="00CA3BCF">
        <w:trPr>
          <w:gridAfter w:val="1"/>
          <w:wAfter w:w="886" w:type="dxa"/>
          <w:trHeight w:val="588"/>
        </w:trPr>
        <w:tc>
          <w:tcPr>
            <w:tcW w:w="1270" w:type="dxa"/>
            <w:shd w:val="clear" w:color="auto" w:fill="auto"/>
            <w:vAlign w:val="center"/>
          </w:tcPr>
          <w:p w14:paraId="57691F97" w14:textId="3260BD8E" w:rsidR="00733E89" w:rsidRDefault="00134FE7">
            <w:pPr>
              <w:rPr>
                <w:rFonts w:cs="Arial"/>
                <w:sz w:val="28"/>
                <w:szCs w:val="28"/>
              </w:rPr>
            </w:pPr>
            <w:r>
              <w:rPr>
                <w:rFonts w:cs="Arial"/>
                <w:sz w:val="28"/>
                <w:szCs w:val="28"/>
              </w:rPr>
              <w:t>NR</w:t>
            </w:r>
            <w:r w:rsidR="00AA3F82">
              <w:rPr>
                <w:rFonts w:cs="Arial"/>
                <w:sz w:val="28"/>
                <w:szCs w:val="28"/>
              </w:rPr>
              <w:t xml:space="preserve"> L20</w:t>
            </w:r>
          </w:p>
        </w:tc>
        <w:tc>
          <w:tcPr>
            <w:tcW w:w="8617" w:type="dxa"/>
            <w:gridSpan w:val="5"/>
            <w:vAlign w:val="center"/>
          </w:tcPr>
          <w:p w14:paraId="76EDCD20" w14:textId="77777777" w:rsidR="00733E89" w:rsidRDefault="00134FE7">
            <w:pPr>
              <w:rPr>
                <w:rFonts w:cs="Arial"/>
                <w:sz w:val="28"/>
                <w:szCs w:val="28"/>
              </w:rPr>
            </w:pPr>
            <w:r>
              <w:rPr>
                <w:rFonts w:cs="Arial"/>
                <w:b/>
                <w:bCs/>
                <w:color w:val="1F3864" w:themeColor="accent1" w:themeShade="80"/>
                <w:sz w:val="28"/>
                <w:szCs w:val="28"/>
              </w:rPr>
              <w:t>Daseinsgrundfunktionen und Bedürfnisse: Die Wahl eines neuen Wohnorts</w:t>
            </w:r>
          </w:p>
        </w:tc>
      </w:tr>
      <w:tr w:rsidR="00733E89" w14:paraId="3E2389D9" w14:textId="77777777" w:rsidTr="00CA3BCF">
        <w:trPr>
          <w:trHeight w:val="588"/>
        </w:trPr>
        <w:tc>
          <w:tcPr>
            <w:tcW w:w="10773" w:type="dxa"/>
            <w:gridSpan w:val="7"/>
            <w:shd w:val="clear" w:color="auto" w:fill="auto"/>
            <w:vAlign w:val="center"/>
          </w:tcPr>
          <w:p w14:paraId="7A021D1B" w14:textId="77777777" w:rsidR="00733E89" w:rsidRPr="00560845" w:rsidRDefault="00134FE7">
            <w:pPr>
              <w:rPr>
                <w:rFonts w:cs="Arial"/>
                <w:color w:val="1F3864" w:themeColor="accent1" w:themeShade="80"/>
              </w:rPr>
            </w:pPr>
            <w:r w:rsidRPr="00560845">
              <w:rPr>
                <w:rFonts w:cs="Arial"/>
                <w:color w:val="000000" w:themeColor="text1"/>
              </w:rPr>
              <w:t>Michelle Krudewig, Katharina Seeger und Isabelle Kunze</w:t>
            </w:r>
          </w:p>
        </w:tc>
      </w:tr>
      <w:tr w:rsidR="00733E89" w14:paraId="57118E1C" w14:textId="77777777" w:rsidTr="00CA3BCF">
        <w:trPr>
          <w:trHeight w:val="1800"/>
        </w:trPr>
        <w:tc>
          <w:tcPr>
            <w:tcW w:w="6712" w:type="dxa"/>
            <w:gridSpan w:val="5"/>
            <w:vAlign w:val="center"/>
          </w:tcPr>
          <w:p w14:paraId="746C192E" w14:textId="77777777" w:rsidR="00733E89" w:rsidRPr="00560845" w:rsidRDefault="00134FE7">
            <w:pPr>
              <w:rPr>
                <w:rFonts w:cs="Arial"/>
                <w:b/>
                <w:bCs/>
                <w:color w:val="000000" w:themeColor="text1"/>
              </w:rPr>
            </w:pPr>
            <w:r w:rsidRPr="00560845">
              <w:rPr>
                <w:rFonts w:cs="Arial"/>
                <w:color w:val="000000" w:themeColor="text1"/>
              </w:rPr>
              <w:t>Die Materialien sind im Rahmen eines Kooperationsprojekts von IT.NRW und dem Institut für Geographiedidaktik der Universität zu Köln entstanden. Sie wurden in der Praxis erprobt, evaluiert und stehen Ihnen zur kostenlosen Nutzung zur Verfügung.</w:t>
            </w:r>
          </w:p>
        </w:tc>
        <w:tc>
          <w:tcPr>
            <w:tcW w:w="4061" w:type="dxa"/>
            <w:gridSpan w:val="2"/>
            <w:shd w:val="clear" w:color="auto" w:fill="EDF1F9"/>
            <w:vAlign w:val="center"/>
          </w:tcPr>
          <w:p w14:paraId="720EE142" w14:textId="77777777" w:rsidR="00733E89" w:rsidRPr="00560845" w:rsidRDefault="00134FE7">
            <w:pPr>
              <w:spacing w:after="120"/>
              <w:rPr>
                <w:rFonts w:cstheme="minorHAnsi"/>
                <w:b/>
                <w:bCs/>
                <w:color w:val="1F3864" w:themeColor="accent1" w:themeShade="80"/>
                <w:sz w:val="20"/>
                <w:szCs w:val="20"/>
              </w:rPr>
            </w:pPr>
            <w:r w:rsidRPr="00560845">
              <w:rPr>
                <w:rFonts w:cstheme="minorHAnsi"/>
                <w:b/>
                <w:bCs/>
                <w:color w:val="1F3864" w:themeColor="accent1" w:themeShade="80"/>
                <w:sz w:val="20"/>
                <w:szCs w:val="20"/>
              </w:rPr>
              <w:t>KARTENBASIERTE ARGUMENTATION</w:t>
            </w:r>
          </w:p>
          <w:p w14:paraId="3FE4A261" w14:textId="0192D1D3" w:rsidR="00733E89" w:rsidRDefault="00134FE7" w:rsidP="00560845">
            <w:pPr>
              <w:rPr>
                <w:rFonts w:cs="Arial"/>
                <w:b/>
                <w:bCs/>
                <w:color w:val="1F3864" w:themeColor="accent1" w:themeShade="80"/>
                <w:sz w:val="16"/>
                <w:szCs w:val="16"/>
              </w:rPr>
            </w:pPr>
            <w:r w:rsidRPr="00560845">
              <w:rPr>
                <w:rFonts w:cstheme="minorHAnsi"/>
                <w:color w:val="374151"/>
                <w:sz w:val="20"/>
                <w:szCs w:val="20"/>
              </w:rPr>
              <w:t>Die Kartenbasierte Argumentation ist eine Methode, die visuelle Hilfsmittel in Kartenform nutzt, um Argumente zu einer bestimmten Leitfrage herauszufiltern, zu strukturieren und zu präsentieren.</w:t>
            </w:r>
          </w:p>
        </w:tc>
      </w:tr>
      <w:tr w:rsidR="00733E89" w14:paraId="40EF2D5C" w14:textId="77777777" w:rsidTr="00CA3BCF">
        <w:trPr>
          <w:trHeight w:val="1146"/>
        </w:trPr>
        <w:tc>
          <w:tcPr>
            <w:tcW w:w="10773" w:type="dxa"/>
            <w:gridSpan w:val="7"/>
            <w:vAlign w:val="center"/>
          </w:tcPr>
          <w:p w14:paraId="5785BEA2" w14:textId="77777777" w:rsidR="00733E89" w:rsidRPr="00560845" w:rsidRDefault="00134FE7">
            <w:pPr>
              <w:spacing w:after="120"/>
              <w:rPr>
                <w:rFonts w:cs="Arial"/>
                <w:b/>
                <w:bCs/>
                <w:color w:val="1F3864" w:themeColor="accent1" w:themeShade="80"/>
              </w:rPr>
            </w:pPr>
            <w:r w:rsidRPr="00560845">
              <w:rPr>
                <w:rFonts w:cs="Arial"/>
                <w:color w:val="000000" w:themeColor="text1"/>
              </w:rPr>
              <w:t>Die folgende Tabelle gibt Ihnen einen Überblick über die Einsatzmöglichkeiten im Unterricht:</w:t>
            </w:r>
          </w:p>
        </w:tc>
      </w:tr>
      <w:tr w:rsidR="00733E89" w14:paraId="0AB46B1E" w14:textId="77777777" w:rsidTr="00CA3BCF">
        <w:trPr>
          <w:trHeight w:val="555"/>
        </w:trPr>
        <w:tc>
          <w:tcPr>
            <w:tcW w:w="10773" w:type="dxa"/>
            <w:gridSpan w:val="7"/>
            <w:shd w:val="clear" w:color="auto" w:fill="ACB9CA" w:themeFill="text2" w:themeFillTint="66"/>
            <w:vAlign w:val="center"/>
          </w:tcPr>
          <w:p w14:paraId="32ABFA77" w14:textId="77777777" w:rsidR="00733E89" w:rsidRDefault="00134FE7">
            <w:pPr>
              <w:rPr>
                <w:rFonts w:cs="Arial"/>
                <w:b/>
                <w:bCs/>
                <w:color w:val="1C3158"/>
                <w:sz w:val="20"/>
                <w:szCs w:val="20"/>
              </w:rPr>
            </w:pPr>
            <w:r>
              <w:rPr>
                <w:rFonts w:cs="Arial"/>
                <w:b/>
                <w:bCs/>
                <w:color w:val="1C3158"/>
                <w:sz w:val="20"/>
                <w:szCs w:val="20"/>
              </w:rPr>
              <w:t>Übersicht:</w:t>
            </w:r>
          </w:p>
        </w:tc>
      </w:tr>
      <w:tr w:rsidR="00733E89" w14:paraId="0408058C" w14:textId="77777777" w:rsidTr="00CA3BCF">
        <w:trPr>
          <w:trHeight w:val="291"/>
        </w:trPr>
        <w:tc>
          <w:tcPr>
            <w:tcW w:w="2156" w:type="dxa"/>
            <w:gridSpan w:val="3"/>
            <w:shd w:val="clear" w:color="auto" w:fill="EDF1F9"/>
            <w:vAlign w:val="center"/>
          </w:tcPr>
          <w:p w14:paraId="467E271A" w14:textId="77777777" w:rsidR="00733E89" w:rsidRDefault="00134FE7">
            <w:pPr>
              <w:spacing w:before="120" w:after="120"/>
              <w:rPr>
                <w:rFonts w:cs="Arial"/>
                <w:color w:val="1F3864" w:themeColor="accent1" w:themeShade="80"/>
                <w:sz w:val="20"/>
                <w:szCs w:val="20"/>
              </w:rPr>
            </w:pPr>
            <w:r>
              <w:rPr>
                <w:rFonts w:cs="Arial"/>
                <w:color w:val="1F3864" w:themeColor="accent1" w:themeShade="80"/>
                <w:sz w:val="20"/>
                <w:szCs w:val="20"/>
              </w:rPr>
              <w:t xml:space="preserve">Fächer </w:t>
            </w:r>
          </w:p>
        </w:tc>
        <w:tc>
          <w:tcPr>
            <w:tcW w:w="8617" w:type="dxa"/>
            <w:gridSpan w:val="4"/>
            <w:shd w:val="clear" w:color="auto" w:fill="EDF1F9"/>
            <w:vAlign w:val="center"/>
          </w:tcPr>
          <w:p w14:paraId="70AEFC0A" w14:textId="77777777" w:rsidR="00733E89" w:rsidRDefault="00134FE7">
            <w:pPr>
              <w:spacing w:before="120" w:after="120"/>
              <w:ind w:right="539"/>
              <w:rPr>
                <w:rFonts w:cs="Arial"/>
                <w:color w:val="1F3864" w:themeColor="accent1" w:themeShade="80"/>
                <w:sz w:val="20"/>
                <w:szCs w:val="20"/>
              </w:rPr>
            </w:pPr>
            <w:r>
              <w:rPr>
                <w:rFonts w:cs="Arial"/>
                <w:color w:val="1F3864" w:themeColor="accent1" w:themeShade="80"/>
                <w:sz w:val="20"/>
                <w:szCs w:val="20"/>
              </w:rPr>
              <w:t>Geographie, Gesellschaftslehre, Sozialwissenschaften</w:t>
            </w:r>
          </w:p>
        </w:tc>
      </w:tr>
      <w:tr w:rsidR="00733E89" w14:paraId="5632BFA3" w14:textId="77777777" w:rsidTr="00CA3BCF">
        <w:tc>
          <w:tcPr>
            <w:tcW w:w="2156" w:type="dxa"/>
            <w:gridSpan w:val="3"/>
            <w:shd w:val="clear" w:color="auto" w:fill="EDF1F9"/>
            <w:vAlign w:val="center"/>
          </w:tcPr>
          <w:p w14:paraId="42C96D5A" w14:textId="77777777" w:rsidR="00733E89" w:rsidRDefault="00134FE7">
            <w:pPr>
              <w:spacing w:before="120" w:after="120"/>
              <w:rPr>
                <w:rFonts w:cs="Arial"/>
                <w:color w:val="1F3864" w:themeColor="accent1" w:themeShade="80"/>
                <w:sz w:val="20"/>
                <w:szCs w:val="20"/>
              </w:rPr>
            </w:pPr>
            <w:r>
              <w:rPr>
                <w:rFonts w:cs="Arial"/>
                <w:color w:val="1F3864" w:themeColor="accent1" w:themeShade="80"/>
                <w:sz w:val="20"/>
                <w:szCs w:val="20"/>
              </w:rPr>
              <w:t>Schulform(en)</w:t>
            </w:r>
          </w:p>
        </w:tc>
        <w:tc>
          <w:tcPr>
            <w:tcW w:w="8617" w:type="dxa"/>
            <w:gridSpan w:val="4"/>
            <w:shd w:val="clear" w:color="auto" w:fill="EDF1F9"/>
            <w:vAlign w:val="center"/>
          </w:tcPr>
          <w:p w14:paraId="4474F6F4" w14:textId="77777777" w:rsidR="00733E89" w:rsidRDefault="00134FE7">
            <w:pPr>
              <w:spacing w:before="120" w:after="120"/>
              <w:rPr>
                <w:rFonts w:cs="Arial"/>
                <w:color w:val="1F3864" w:themeColor="accent1" w:themeShade="80"/>
                <w:sz w:val="20"/>
                <w:szCs w:val="20"/>
              </w:rPr>
            </w:pPr>
            <w:r>
              <w:rPr>
                <w:rFonts w:cs="Arial"/>
                <w:color w:val="1F3864" w:themeColor="accent1" w:themeShade="80"/>
                <w:sz w:val="20"/>
                <w:szCs w:val="20"/>
              </w:rPr>
              <w:t>Gymnasium, Gesamtschule, Realschule, Hauptschule</w:t>
            </w:r>
          </w:p>
        </w:tc>
      </w:tr>
      <w:tr w:rsidR="00733E89" w14:paraId="2DFF4627" w14:textId="77777777" w:rsidTr="00CA3BCF">
        <w:tc>
          <w:tcPr>
            <w:tcW w:w="2156" w:type="dxa"/>
            <w:gridSpan w:val="3"/>
            <w:shd w:val="clear" w:color="auto" w:fill="EDF1F9"/>
            <w:vAlign w:val="center"/>
          </w:tcPr>
          <w:p w14:paraId="73EEB79D" w14:textId="77777777" w:rsidR="00733E89" w:rsidRDefault="00134FE7">
            <w:pPr>
              <w:spacing w:before="120" w:after="120"/>
              <w:rPr>
                <w:rFonts w:cs="Arial"/>
                <w:color w:val="1F3864" w:themeColor="accent1" w:themeShade="80"/>
                <w:sz w:val="20"/>
                <w:szCs w:val="20"/>
              </w:rPr>
            </w:pPr>
            <w:r>
              <w:rPr>
                <w:rFonts w:cs="Arial"/>
                <w:color w:val="1F3864" w:themeColor="accent1" w:themeShade="80"/>
                <w:sz w:val="20"/>
                <w:szCs w:val="20"/>
              </w:rPr>
              <w:t>Jahrgangsstufe(n)</w:t>
            </w:r>
          </w:p>
        </w:tc>
        <w:tc>
          <w:tcPr>
            <w:tcW w:w="8617" w:type="dxa"/>
            <w:gridSpan w:val="4"/>
            <w:shd w:val="clear" w:color="auto" w:fill="EDF1F9"/>
            <w:vAlign w:val="center"/>
          </w:tcPr>
          <w:p w14:paraId="2806F55A" w14:textId="77777777" w:rsidR="00733E89" w:rsidRDefault="00134FE7">
            <w:pPr>
              <w:spacing w:before="120" w:after="120"/>
              <w:rPr>
                <w:rFonts w:cs="Arial"/>
                <w:color w:val="1F3864" w:themeColor="accent1" w:themeShade="80"/>
                <w:sz w:val="20"/>
                <w:szCs w:val="20"/>
              </w:rPr>
            </w:pPr>
            <w:r>
              <w:rPr>
                <w:rFonts w:cs="Arial"/>
                <w:color w:val="1F3864" w:themeColor="accent1" w:themeShade="80"/>
                <w:sz w:val="20"/>
                <w:szCs w:val="20"/>
              </w:rPr>
              <w:t>8-10</w:t>
            </w:r>
          </w:p>
        </w:tc>
      </w:tr>
      <w:tr w:rsidR="00733E89" w14:paraId="4D4F4A3C" w14:textId="77777777" w:rsidTr="00CA3BCF">
        <w:tc>
          <w:tcPr>
            <w:tcW w:w="2156" w:type="dxa"/>
            <w:gridSpan w:val="3"/>
            <w:shd w:val="clear" w:color="auto" w:fill="EDF1F9"/>
            <w:vAlign w:val="center"/>
          </w:tcPr>
          <w:p w14:paraId="35331272" w14:textId="77777777" w:rsidR="00733E89" w:rsidRDefault="00134FE7">
            <w:pPr>
              <w:spacing w:before="120" w:after="120"/>
              <w:rPr>
                <w:rFonts w:cs="Arial"/>
                <w:color w:val="1F3864" w:themeColor="accent1" w:themeShade="80"/>
                <w:sz w:val="20"/>
                <w:szCs w:val="20"/>
              </w:rPr>
            </w:pPr>
            <w:r>
              <w:rPr>
                <w:rFonts w:cs="Arial"/>
                <w:color w:val="1F3864" w:themeColor="accent1" w:themeShade="80"/>
                <w:sz w:val="20"/>
                <w:szCs w:val="20"/>
              </w:rPr>
              <w:t>Zeitbedarf</w:t>
            </w:r>
          </w:p>
        </w:tc>
        <w:tc>
          <w:tcPr>
            <w:tcW w:w="8617" w:type="dxa"/>
            <w:gridSpan w:val="4"/>
            <w:shd w:val="clear" w:color="auto" w:fill="EDF1F9"/>
            <w:vAlign w:val="center"/>
          </w:tcPr>
          <w:p w14:paraId="035775CF" w14:textId="77777777" w:rsidR="00733E89" w:rsidRDefault="00134FE7">
            <w:pPr>
              <w:spacing w:before="120" w:after="120"/>
              <w:rPr>
                <w:rFonts w:cs="Arial"/>
                <w:color w:val="1F3864" w:themeColor="accent1" w:themeShade="80"/>
                <w:sz w:val="20"/>
                <w:szCs w:val="20"/>
              </w:rPr>
            </w:pPr>
            <w:r>
              <w:rPr>
                <w:rFonts w:cs="Arial"/>
                <w:color w:val="1F3864" w:themeColor="accent1" w:themeShade="80"/>
                <w:sz w:val="20"/>
                <w:szCs w:val="20"/>
              </w:rPr>
              <w:t>90 Minuten</w:t>
            </w:r>
          </w:p>
        </w:tc>
      </w:tr>
      <w:tr w:rsidR="00733E89" w14:paraId="1B79FC46" w14:textId="77777777" w:rsidTr="00CA3BCF">
        <w:tc>
          <w:tcPr>
            <w:tcW w:w="2156" w:type="dxa"/>
            <w:gridSpan w:val="3"/>
            <w:shd w:val="clear" w:color="auto" w:fill="EDF1F9"/>
            <w:vAlign w:val="center"/>
          </w:tcPr>
          <w:p w14:paraId="75DFB6EF" w14:textId="77777777" w:rsidR="00733E89" w:rsidRDefault="00134FE7">
            <w:pPr>
              <w:spacing w:before="120" w:after="120"/>
              <w:rPr>
                <w:rFonts w:cs="Arial"/>
                <w:color w:val="1F3864" w:themeColor="accent1" w:themeShade="80"/>
                <w:sz w:val="20"/>
                <w:szCs w:val="20"/>
              </w:rPr>
            </w:pPr>
            <w:r>
              <w:rPr>
                <w:rFonts w:cs="Arial"/>
                <w:color w:val="1F3864" w:themeColor="accent1" w:themeShade="80"/>
                <w:sz w:val="20"/>
                <w:szCs w:val="20"/>
              </w:rPr>
              <w:t>Kompetenzen und Lernziele</w:t>
            </w:r>
          </w:p>
        </w:tc>
        <w:tc>
          <w:tcPr>
            <w:tcW w:w="8617" w:type="dxa"/>
            <w:gridSpan w:val="4"/>
            <w:shd w:val="clear" w:color="auto" w:fill="EDF1F9"/>
            <w:vAlign w:val="center"/>
          </w:tcPr>
          <w:p w14:paraId="2279F88B" w14:textId="77777777" w:rsidR="00733E89" w:rsidRDefault="00134FE7">
            <w:pPr>
              <w:pStyle w:val="Listenabsatz"/>
              <w:numPr>
                <w:ilvl w:val="0"/>
                <w:numId w:val="3"/>
              </w:numPr>
              <w:spacing w:before="120" w:after="120"/>
              <w:rPr>
                <w:rFonts w:ascii="Calibri" w:hAnsi="Calibri" w:cs="Calibri"/>
                <w:color w:val="1F3864" w:themeColor="accent1" w:themeShade="80"/>
                <w:sz w:val="20"/>
                <w:szCs w:val="20"/>
              </w:rPr>
            </w:pPr>
            <w:r>
              <w:rPr>
                <w:rFonts w:ascii="Calibri" w:hAnsi="Calibri" w:cs="Calibri"/>
                <w:color w:val="1F3864" w:themeColor="accent1" w:themeShade="80"/>
                <w:sz w:val="20"/>
                <w:szCs w:val="20"/>
              </w:rPr>
              <w:t>Die Schüler*innen können relevante Standortfaktoren identifizieren sowie deren Bedeutung für die Entscheidungsfindung bei der Wohnortsuche erklären.</w:t>
            </w:r>
          </w:p>
          <w:p w14:paraId="3C40C0F1" w14:textId="77777777" w:rsidR="00733E89" w:rsidRDefault="00134FE7">
            <w:pPr>
              <w:pStyle w:val="Listenabsatz"/>
              <w:numPr>
                <w:ilvl w:val="0"/>
                <w:numId w:val="3"/>
              </w:numPr>
              <w:spacing w:before="120" w:after="120"/>
              <w:rPr>
                <w:rFonts w:ascii="Calibri" w:hAnsi="Calibri" w:cs="Calibri"/>
                <w:color w:val="1F3864" w:themeColor="accent1" w:themeShade="80"/>
                <w:sz w:val="20"/>
                <w:szCs w:val="20"/>
              </w:rPr>
            </w:pPr>
            <w:r>
              <w:rPr>
                <w:rFonts w:ascii="Calibri" w:hAnsi="Calibri" w:cs="Calibri"/>
                <w:color w:val="1F3864" w:themeColor="accent1" w:themeShade="80"/>
                <w:sz w:val="20"/>
                <w:szCs w:val="20"/>
              </w:rPr>
              <w:t>Die Schüler*innen können die Vor- und Nachteile verschiedener Wohnorte anhand aktueller und kartographisch aufbereiteter Daten bewerten und eine fundierte Entscheidung treffen, die auf den individuellen Bedürfnissen exemplarischer Rollen basieren.</w:t>
            </w:r>
          </w:p>
          <w:p w14:paraId="1B36AC3A" w14:textId="77777777" w:rsidR="00733E89" w:rsidRDefault="00134FE7">
            <w:pPr>
              <w:pStyle w:val="Listenabsatz"/>
              <w:numPr>
                <w:ilvl w:val="0"/>
                <w:numId w:val="3"/>
              </w:numPr>
              <w:spacing w:before="120" w:after="120"/>
              <w:rPr>
                <w:rFonts w:ascii="Calibri" w:hAnsi="Calibri" w:cs="Calibri"/>
                <w:color w:val="1F3864" w:themeColor="accent1" w:themeShade="80"/>
                <w:sz w:val="20"/>
                <w:szCs w:val="20"/>
              </w:rPr>
            </w:pPr>
            <w:r>
              <w:rPr>
                <w:rFonts w:ascii="Calibri" w:hAnsi="Calibri" w:cs="Calibri"/>
                <w:color w:val="1F3864" w:themeColor="accent1" w:themeShade="80"/>
                <w:sz w:val="20"/>
                <w:szCs w:val="20"/>
              </w:rPr>
              <w:t>Die Schüler*innen können eine kartenbasierte Argumentation entwickeln, in der sie die Bedürfnisse ihrer Rolle mit den regionalen Gegebenheiten verknüpfen.</w:t>
            </w:r>
          </w:p>
        </w:tc>
      </w:tr>
      <w:tr w:rsidR="00733E89" w14:paraId="24243B86" w14:textId="77777777" w:rsidTr="00CA3BCF">
        <w:tc>
          <w:tcPr>
            <w:tcW w:w="2156" w:type="dxa"/>
            <w:gridSpan w:val="3"/>
            <w:vAlign w:val="center"/>
          </w:tcPr>
          <w:p w14:paraId="31CFBCAF" w14:textId="77777777" w:rsidR="00733E89" w:rsidRDefault="00733E89">
            <w:pPr>
              <w:rPr>
                <w:rFonts w:cs="Arial"/>
                <w:sz w:val="20"/>
                <w:szCs w:val="20"/>
              </w:rPr>
            </w:pPr>
          </w:p>
        </w:tc>
        <w:tc>
          <w:tcPr>
            <w:tcW w:w="3268" w:type="dxa"/>
            <w:vAlign w:val="center"/>
          </w:tcPr>
          <w:p w14:paraId="09864258" w14:textId="77777777" w:rsidR="00733E89" w:rsidRDefault="00733E89">
            <w:pPr>
              <w:rPr>
                <w:rFonts w:cs="Arial"/>
                <w:sz w:val="20"/>
                <w:szCs w:val="20"/>
              </w:rPr>
            </w:pPr>
          </w:p>
        </w:tc>
        <w:tc>
          <w:tcPr>
            <w:tcW w:w="5349" w:type="dxa"/>
            <w:gridSpan w:val="3"/>
            <w:vAlign w:val="center"/>
          </w:tcPr>
          <w:p w14:paraId="7EABE95B" w14:textId="77777777" w:rsidR="00733E89" w:rsidRDefault="00733E89">
            <w:pPr>
              <w:rPr>
                <w:rFonts w:cs="Arial"/>
                <w:sz w:val="20"/>
                <w:szCs w:val="20"/>
              </w:rPr>
            </w:pPr>
          </w:p>
        </w:tc>
      </w:tr>
      <w:tr w:rsidR="00733E89" w14:paraId="49638DF2" w14:textId="77777777" w:rsidTr="00CA3BCF">
        <w:trPr>
          <w:trHeight w:val="431"/>
        </w:trPr>
        <w:tc>
          <w:tcPr>
            <w:tcW w:w="2156" w:type="dxa"/>
            <w:gridSpan w:val="3"/>
            <w:vAlign w:val="center"/>
          </w:tcPr>
          <w:p w14:paraId="1D0C5A13" w14:textId="77777777" w:rsidR="00733E89" w:rsidRDefault="00733E89">
            <w:pPr>
              <w:rPr>
                <w:rFonts w:cs="Arial"/>
                <w:sz w:val="20"/>
                <w:szCs w:val="20"/>
              </w:rPr>
            </w:pPr>
          </w:p>
        </w:tc>
        <w:tc>
          <w:tcPr>
            <w:tcW w:w="3268" w:type="dxa"/>
            <w:vAlign w:val="center"/>
          </w:tcPr>
          <w:p w14:paraId="7DE84EEF" w14:textId="77777777" w:rsidR="00733E89" w:rsidRDefault="00733E89">
            <w:pPr>
              <w:rPr>
                <w:rFonts w:cs="Arial"/>
                <w:sz w:val="20"/>
                <w:szCs w:val="20"/>
              </w:rPr>
            </w:pPr>
          </w:p>
        </w:tc>
        <w:tc>
          <w:tcPr>
            <w:tcW w:w="5349" w:type="dxa"/>
            <w:gridSpan w:val="3"/>
            <w:vAlign w:val="center"/>
          </w:tcPr>
          <w:p w14:paraId="54292454" w14:textId="77777777" w:rsidR="00733E89" w:rsidRDefault="00733E89">
            <w:pPr>
              <w:rPr>
                <w:rFonts w:cs="Arial"/>
                <w:sz w:val="20"/>
                <w:szCs w:val="20"/>
              </w:rPr>
            </w:pPr>
          </w:p>
        </w:tc>
      </w:tr>
      <w:tr w:rsidR="00733E89" w14:paraId="261FA939" w14:textId="77777777" w:rsidTr="00CA3BCF">
        <w:tc>
          <w:tcPr>
            <w:tcW w:w="2156" w:type="dxa"/>
            <w:gridSpan w:val="3"/>
            <w:vAlign w:val="center"/>
          </w:tcPr>
          <w:p w14:paraId="0B49582E" w14:textId="77777777" w:rsidR="00733E89" w:rsidRDefault="00733E89">
            <w:pPr>
              <w:rPr>
                <w:rFonts w:cs="Arial"/>
                <w:sz w:val="20"/>
                <w:szCs w:val="20"/>
              </w:rPr>
            </w:pPr>
          </w:p>
        </w:tc>
        <w:tc>
          <w:tcPr>
            <w:tcW w:w="3268" w:type="dxa"/>
            <w:vAlign w:val="center"/>
          </w:tcPr>
          <w:p w14:paraId="17C89955" w14:textId="77777777" w:rsidR="00733E89" w:rsidRDefault="00733E89">
            <w:pPr>
              <w:rPr>
                <w:rFonts w:cs="Arial"/>
                <w:sz w:val="20"/>
                <w:szCs w:val="20"/>
              </w:rPr>
            </w:pPr>
          </w:p>
        </w:tc>
        <w:tc>
          <w:tcPr>
            <w:tcW w:w="5349" w:type="dxa"/>
            <w:gridSpan w:val="3"/>
            <w:vAlign w:val="center"/>
          </w:tcPr>
          <w:p w14:paraId="05AF0356" w14:textId="77777777" w:rsidR="00733E89" w:rsidRDefault="00733E89">
            <w:pPr>
              <w:rPr>
                <w:rFonts w:cs="Arial"/>
                <w:sz w:val="20"/>
                <w:szCs w:val="20"/>
              </w:rPr>
            </w:pPr>
          </w:p>
        </w:tc>
      </w:tr>
      <w:tr w:rsidR="00733E89" w14:paraId="3F5B39F6" w14:textId="77777777" w:rsidTr="00CA3BCF">
        <w:tc>
          <w:tcPr>
            <w:tcW w:w="10773" w:type="dxa"/>
            <w:gridSpan w:val="7"/>
            <w:vAlign w:val="center"/>
          </w:tcPr>
          <w:p w14:paraId="27ABC547" w14:textId="77777777" w:rsidR="00733E89" w:rsidRPr="00560845" w:rsidRDefault="00134FE7">
            <w:pPr>
              <w:spacing w:after="120"/>
              <w:rPr>
                <w:rFonts w:cs="Arial"/>
                <w:b/>
                <w:bCs/>
              </w:rPr>
            </w:pPr>
            <w:r w:rsidRPr="00560845">
              <w:rPr>
                <w:rFonts w:cs="Arial"/>
                <w:b/>
                <w:bCs/>
              </w:rPr>
              <w:t>Fachliche Basisinformationen zum Unterrichtsthema:</w:t>
            </w:r>
          </w:p>
          <w:p w14:paraId="03BBF8E8" w14:textId="77777777" w:rsidR="00733E89" w:rsidRPr="00560845" w:rsidRDefault="00134FE7">
            <w:pPr>
              <w:spacing w:before="100" w:beforeAutospacing="1" w:after="100" w:afterAutospacing="1"/>
              <w:rPr>
                <w:rFonts w:eastAsia="Times New Roman" w:cstheme="minorHAnsi"/>
                <w:lang w:eastAsia="en-GB"/>
              </w:rPr>
            </w:pPr>
            <w:r w:rsidRPr="00560845">
              <w:rPr>
                <w:rFonts w:eastAsia="Times New Roman" w:cstheme="minorHAnsi"/>
                <w:lang w:eastAsia="en-GB"/>
              </w:rPr>
              <w:t xml:space="preserve">Die Unterrichtseinheit lässt sich in das Inhaltsfeld 1: </w:t>
            </w:r>
            <w:r w:rsidRPr="00560845">
              <w:rPr>
                <w:rFonts w:eastAsia="Times New Roman" w:cstheme="minorHAnsi"/>
                <w:i/>
                <w:iCs/>
                <w:lang w:eastAsia="en-GB"/>
              </w:rPr>
              <w:t>Unterschiedlich strukturierte Siedlungen</w:t>
            </w:r>
            <w:r w:rsidRPr="00560845">
              <w:rPr>
                <w:rFonts w:eastAsia="Times New Roman" w:cstheme="minorHAnsi"/>
                <w:lang w:eastAsia="en-GB"/>
              </w:rPr>
              <w:t xml:space="preserve"> einbetten. Der inhaltliche Schwerpunkt liegt dabei auf Daseinsgrundfunktionen in Siedlungen. Das geographische Raumkonzept, das hier genutzt wird, ist der Raum als System von Lagebeziehungen.</w:t>
            </w:r>
          </w:p>
          <w:p w14:paraId="5D489407" w14:textId="700C3A02" w:rsidR="00733E89" w:rsidRDefault="00134FE7">
            <w:pPr>
              <w:rPr>
                <w:rFonts w:ascii="Calibri" w:hAnsi="Calibri" w:cs="Calibri"/>
                <w:color w:val="000000"/>
              </w:rPr>
            </w:pPr>
            <w:r w:rsidRPr="00560845">
              <w:rPr>
                <w:rFonts w:ascii="Calibri" w:hAnsi="Calibri" w:cs="Calibri"/>
                <w:color w:val="000000"/>
              </w:rPr>
              <w:t>Die</w:t>
            </w:r>
            <w:r w:rsidRPr="00560845">
              <w:rPr>
                <w:rStyle w:val="apple-converted-space"/>
                <w:rFonts w:ascii="Calibri" w:hAnsi="Calibri" w:cs="Calibri"/>
                <w:color w:val="000000"/>
              </w:rPr>
              <w:t> </w:t>
            </w:r>
            <w:r w:rsidRPr="00560845">
              <w:rPr>
                <w:rStyle w:val="Fett"/>
                <w:rFonts w:ascii="Calibri" w:hAnsi="Calibri" w:cs="Calibri"/>
                <w:color w:val="000000"/>
              </w:rPr>
              <w:t>Daseinsgrundfunktionen</w:t>
            </w:r>
            <w:r w:rsidRPr="00560845">
              <w:rPr>
                <w:rFonts w:ascii="Calibri" w:hAnsi="Calibri" w:cs="Calibri"/>
                <w:color w:val="000000"/>
              </w:rPr>
              <w:t xml:space="preserve"> beschreiben grundlegende Bedürfnisse und Funktionen, die für das menschliche Leben und die soziale Organisation in einem geographischen Raum notwendig sind. Berücksichtigung finden sie insbesondere in der Raumplanung, indem sich die Flächennutzung an der Erfüllung dieser Funktionen orientiert. Unterschieden wird </w:t>
            </w:r>
            <w:proofErr w:type="gramStart"/>
            <w:r w:rsidRPr="00560845">
              <w:rPr>
                <w:rFonts w:ascii="Calibri" w:hAnsi="Calibri" w:cs="Calibri"/>
                <w:color w:val="000000"/>
              </w:rPr>
              <w:t>nach folgenden</w:t>
            </w:r>
            <w:proofErr w:type="gramEnd"/>
            <w:r w:rsidRPr="00560845">
              <w:rPr>
                <w:rFonts w:ascii="Calibri" w:hAnsi="Calibri" w:cs="Calibri"/>
                <w:color w:val="000000"/>
              </w:rPr>
              <w:t xml:space="preserve"> Daseinsgrundfunktionen: Sie lassen sich in vier Hauptbereiche unterteilen: Wohnen, Arbeiten, sich versorgen, sich bilden, sich erholen, Teilnahme am Verkehr und in Gemeinschaft leben.</w:t>
            </w:r>
          </w:p>
          <w:p w14:paraId="201A4D79" w14:textId="77777777" w:rsidR="00BC755F" w:rsidRPr="00BC755F" w:rsidRDefault="00BC755F">
            <w:pPr>
              <w:rPr>
                <w:rFonts w:eastAsia="Times New Roman" w:cstheme="minorHAnsi"/>
                <w:sz w:val="16"/>
                <w:szCs w:val="16"/>
                <w:lang w:eastAsia="en-GB"/>
              </w:rPr>
            </w:pPr>
          </w:p>
          <w:p w14:paraId="4463AFC7" w14:textId="77777777" w:rsidR="00733E89" w:rsidRPr="00560845" w:rsidRDefault="00134FE7">
            <w:pPr>
              <w:spacing w:before="100" w:beforeAutospacing="1" w:after="100" w:afterAutospacing="1"/>
              <w:rPr>
                <w:rFonts w:eastAsia="Times New Roman" w:cstheme="minorHAnsi"/>
                <w:lang w:eastAsia="en-GB"/>
              </w:rPr>
            </w:pPr>
            <w:r w:rsidRPr="00560845">
              <w:rPr>
                <w:rFonts w:eastAsia="Times New Roman" w:cstheme="minorHAnsi"/>
                <w:lang w:eastAsia="en-GB"/>
              </w:rPr>
              <w:t xml:space="preserve">Quelle: Werlen, B. (o. J.): Daseinsgrundfunktionen. Lexikon der Geographie. Abrufbar unter: </w:t>
            </w:r>
            <w:hyperlink r:id="rId7" w:tooltip="https://www.spektrum.de/lexikon/geographie/daseinsgrundfunktionen/1497" w:history="1">
              <w:r w:rsidRPr="00560845">
                <w:rPr>
                  <w:rStyle w:val="Hyperlink"/>
                  <w:rFonts w:eastAsia="Times New Roman" w:cstheme="minorHAnsi"/>
                  <w:lang w:eastAsia="en-GB"/>
                </w:rPr>
                <w:t>https://www.spektrum.de/lexikon/geographie/daseinsgrundfunktionen/1497</w:t>
              </w:r>
            </w:hyperlink>
            <w:r w:rsidRPr="00560845">
              <w:rPr>
                <w:rFonts w:eastAsia="Times New Roman" w:cstheme="minorHAnsi"/>
                <w:lang w:eastAsia="en-GB"/>
              </w:rPr>
              <w:t xml:space="preserve"> (letzter Aufruf: 22.04.2025)</w:t>
            </w:r>
          </w:p>
        </w:tc>
      </w:tr>
      <w:tr w:rsidR="00733E89" w14:paraId="7D78AE1C" w14:textId="77777777" w:rsidTr="00CA3BCF">
        <w:tc>
          <w:tcPr>
            <w:tcW w:w="10773" w:type="dxa"/>
            <w:gridSpan w:val="7"/>
            <w:vAlign w:val="center"/>
          </w:tcPr>
          <w:p w14:paraId="29CB75F3" w14:textId="77777777" w:rsidR="00733E89" w:rsidRPr="00560845" w:rsidRDefault="00733E89">
            <w:pPr>
              <w:rPr>
                <w:rFonts w:cs="Arial"/>
              </w:rPr>
            </w:pPr>
          </w:p>
        </w:tc>
      </w:tr>
      <w:tr w:rsidR="00733E89" w14:paraId="0EC136D0" w14:textId="77777777" w:rsidTr="00CA3BCF">
        <w:tc>
          <w:tcPr>
            <w:tcW w:w="2028" w:type="dxa"/>
            <w:gridSpan w:val="2"/>
          </w:tcPr>
          <w:p w14:paraId="19BC6947" w14:textId="77777777" w:rsidR="00733E89" w:rsidRPr="00560845" w:rsidRDefault="00134FE7">
            <w:pPr>
              <w:rPr>
                <w:rFonts w:cs="Arial"/>
                <w:b/>
                <w:bCs/>
              </w:rPr>
            </w:pPr>
            <w:r w:rsidRPr="00560845">
              <w:rPr>
                <w:rFonts w:cs="Arial"/>
                <w:b/>
                <w:bCs/>
              </w:rPr>
              <w:t>Vorbereitung</w:t>
            </w:r>
          </w:p>
        </w:tc>
        <w:tc>
          <w:tcPr>
            <w:tcW w:w="8745" w:type="dxa"/>
            <w:gridSpan w:val="5"/>
            <w:vAlign w:val="center"/>
          </w:tcPr>
          <w:p w14:paraId="6C1F7B11" w14:textId="77777777" w:rsidR="00733E89" w:rsidRPr="00560845" w:rsidRDefault="00134FE7">
            <w:pPr>
              <w:rPr>
                <w:rFonts w:cs="Arial"/>
              </w:rPr>
            </w:pPr>
            <w:r w:rsidRPr="00560845">
              <w:rPr>
                <w:rFonts w:cs="Arial"/>
              </w:rPr>
              <w:t>Die Lehrkraft sollte für jede*n Schüler*in ein technisches Gerät (z. B. Computer oder Tablet) bereitstellen und das Arbeitsblatt entweder digital zur Verfügung stellen oder ausdrucken.</w:t>
            </w:r>
          </w:p>
        </w:tc>
      </w:tr>
      <w:tr w:rsidR="00733E89" w14:paraId="26A7E3E9" w14:textId="77777777" w:rsidTr="00CA3BCF">
        <w:tc>
          <w:tcPr>
            <w:tcW w:w="2028" w:type="dxa"/>
            <w:gridSpan w:val="2"/>
          </w:tcPr>
          <w:p w14:paraId="256071F3" w14:textId="77777777" w:rsidR="00733E89" w:rsidRPr="00560845" w:rsidRDefault="00134FE7">
            <w:pPr>
              <w:rPr>
                <w:rFonts w:cs="Arial"/>
                <w:b/>
                <w:bCs/>
              </w:rPr>
            </w:pPr>
            <w:r w:rsidRPr="00560845">
              <w:rPr>
                <w:rFonts w:cs="Arial"/>
                <w:b/>
                <w:bCs/>
              </w:rPr>
              <w:t>Einstieg</w:t>
            </w:r>
          </w:p>
        </w:tc>
        <w:tc>
          <w:tcPr>
            <w:tcW w:w="8745" w:type="dxa"/>
            <w:gridSpan w:val="5"/>
            <w:vAlign w:val="center"/>
          </w:tcPr>
          <w:p w14:paraId="00004D73" w14:textId="77777777" w:rsidR="00733E89" w:rsidRPr="00560845" w:rsidRDefault="00134FE7">
            <w:pPr>
              <w:rPr>
                <w:rFonts w:cs="Arial"/>
              </w:rPr>
            </w:pPr>
            <w:r w:rsidRPr="00560845">
              <w:rPr>
                <w:rFonts w:cs="Arial"/>
              </w:rPr>
              <w:t>Die Lehrperson leitet den Unterricht mit der Frage ein: „Stellt euch vor, ihr müsstet mit eurer Familie umziehen. Welche Faktoren wären euch bei der Wahl eines neuen Wohnorts besonders wichtig?“ Gemeinsam erarbeiten die Schüler*innen, welche Aspekte (z. B. Bildungseinrichtungen, Sicherheit oder Freizeitangebote) eine Rolle spielen könnten. Voraussichtlich werden sich gemeinsame und unterschiedliche Anforderungen an den neuen Wohnort herauskristallisieren, wodurch eine Überleitung zum Einführungstext auf dem Arbeitsblatt gelingt. Es folgt eine Vorstellung der Rollen der alleinerziehenden Mutter Melinda und des Lehrers Lars, deren Ansprüche an einen geeigneten Wohnort sich ebenfalls aufgrund unterschiedlicher Lebenssituationen und individuellen Interessen unterscheiden. Das Vorgehen zur Bearbeitung der Aufgaben wird erklärt.</w:t>
            </w:r>
          </w:p>
        </w:tc>
      </w:tr>
      <w:tr w:rsidR="00733E89" w14:paraId="01414951" w14:textId="77777777" w:rsidTr="00CA3BCF">
        <w:tc>
          <w:tcPr>
            <w:tcW w:w="2028" w:type="dxa"/>
            <w:gridSpan w:val="2"/>
          </w:tcPr>
          <w:p w14:paraId="11DF1ECA" w14:textId="77777777" w:rsidR="00733E89" w:rsidRPr="00560845" w:rsidRDefault="00134FE7">
            <w:pPr>
              <w:rPr>
                <w:rFonts w:cs="Arial"/>
                <w:b/>
                <w:bCs/>
              </w:rPr>
            </w:pPr>
            <w:r w:rsidRPr="00560845">
              <w:rPr>
                <w:rFonts w:cs="Arial"/>
                <w:b/>
                <w:bCs/>
              </w:rPr>
              <w:t>Erarbeitungsphase</w:t>
            </w:r>
          </w:p>
        </w:tc>
        <w:tc>
          <w:tcPr>
            <w:tcW w:w="8745" w:type="dxa"/>
            <w:gridSpan w:val="5"/>
            <w:vAlign w:val="center"/>
          </w:tcPr>
          <w:p w14:paraId="37ACF50A" w14:textId="77777777" w:rsidR="00733E89" w:rsidRPr="00560845" w:rsidRDefault="00134FE7">
            <w:pPr>
              <w:rPr>
                <w:rFonts w:cs="Arial"/>
              </w:rPr>
            </w:pPr>
            <w:r w:rsidRPr="00560845">
              <w:rPr>
                <w:rFonts w:cs="Arial"/>
              </w:rPr>
              <w:t>Die Schüler*innen erarbeiten in Partnerarbeit oder Kleingruppen gemeinsam eine der Rollen von Melinda oder Lars. Die Zuteilung kann entweder per Zufall oder nach Interesse der Schüler*innen erfolgen.</w:t>
            </w:r>
          </w:p>
        </w:tc>
      </w:tr>
      <w:tr w:rsidR="00733E89" w14:paraId="3599D4FF" w14:textId="77777777" w:rsidTr="00CA3BCF">
        <w:tc>
          <w:tcPr>
            <w:tcW w:w="2028" w:type="dxa"/>
            <w:gridSpan w:val="2"/>
          </w:tcPr>
          <w:p w14:paraId="40A6633F" w14:textId="77777777" w:rsidR="00733E89" w:rsidRPr="00560845" w:rsidRDefault="00134FE7">
            <w:pPr>
              <w:rPr>
                <w:rFonts w:cs="Arial"/>
                <w:b/>
                <w:bCs/>
              </w:rPr>
            </w:pPr>
            <w:r w:rsidRPr="00560845">
              <w:rPr>
                <w:rFonts w:cs="Arial"/>
                <w:b/>
                <w:bCs/>
              </w:rPr>
              <w:t>Sicherung</w:t>
            </w:r>
          </w:p>
        </w:tc>
        <w:tc>
          <w:tcPr>
            <w:tcW w:w="8745" w:type="dxa"/>
            <w:gridSpan w:val="5"/>
            <w:vAlign w:val="center"/>
          </w:tcPr>
          <w:p w14:paraId="4A3A31EB" w14:textId="77777777" w:rsidR="00733E89" w:rsidRPr="00560845" w:rsidRDefault="00134FE7">
            <w:pPr>
              <w:rPr>
                <w:rFonts w:cs="Arial"/>
              </w:rPr>
            </w:pPr>
            <w:r w:rsidRPr="00560845">
              <w:rPr>
                <w:rFonts w:cs="Arial"/>
              </w:rPr>
              <w:t>In der Sicherungsphase erfolgt ein Ergebnisvergleich im Plenum, bei dem die Schüler*innen die Argumente der anderen Gruppen hinterfragen und ihre eigenen Entscheidungen reflektieren. Dabei lenkt die Lehrperson die Aufmerksamkeit der Schüler*innen auf die reflexive Fragestellung, warum sowohl für die einzelnen Personen als auch bei einem Vergleich beider Rollen unterschiedliche Ergebnisse zustande gekommen sind.</w:t>
            </w:r>
          </w:p>
        </w:tc>
      </w:tr>
      <w:tr w:rsidR="00733E89" w14:paraId="30A039B7" w14:textId="77777777" w:rsidTr="00CA3BCF">
        <w:trPr>
          <w:trHeight w:val="283"/>
        </w:trPr>
        <w:tc>
          <w:tcPr>
            <w:tcW w:w="2028" w:type="dxa"/>
            <w:gridSpan w:val="2"/>
          </w:tcPr>
          <w:p w14:paraId="698CFF32" w14:textId="77777777" w:rsidR="00733E89" w:rsidRPr="00560845" w:rsidRDefault="00134FE7">
            <w:pPr>
              <w:rPr>
                <w:rFonts w:cs="Arial"/>
                <w:b/>
                <w:bCs/>
              </w:rPr>
            </w:pPr>
            <w:r w:rsidRPr="00560845">
              <w:rPr>
                <w:rFonts w:cs="Arial"/>
                <w:b/>
                <w:bCs/>
              </w:rPr>
              <w:t>Transfer</w:t>
            </w:r>
          </w:p>
        </w:tc>
        <w:tc>
          <w:tcPr>
            <w:tcW w:w="8745" w:type="dxa"/>
            <w:gridSpan w:val="5"/>
            <w:vAlign w:val="center"/>
          </w:tcPr>
          <w:p w14:paraId="612702B8" w14:textId="77777777" w:rsidR="00733E89" w:rsidRPr="00560845" w:rsidRDefault="00134FE7">
            <w:pPr>
              <w:rPr>
                <w:rFonts w:cs="Arial"/>
                <w:color w:val="000000" w:themeColor="text1"/>
              </w:rPr>
            </w:pPr>
            <w:r w:rsidRPr="00560845">
              <w:rPr>
                <w:rFonts w:cs="Arial"/>
                <w:color w:val="000000" w:themeColor="text1"/>
              </w:rPr>
              <w:t>Als mögliche Hausaufgabe bietet es sich an, erneut den Einstieg aufzugreifen und den Schüler*innen die Aufgabe zu geben, anhand ihrer individuellen Bedürfnisse den für sich besten Wohnort innerhalb NRWs zu identifizieren und ihre Entscheidung kartenbasiert zu begründen.</w:t>
            </w:r>
          </w:p>
        </w:tc>
      </w:tr>
    </w:tbl>
    <w:p w14:paraId="0DD2F867" w14:textId="77777777" w:rsidR="00733E89" w:rsidRDefault="00733E89">
      <w:pPr>
        <w:rPr>
          <w:rFonts w:cs="Arial"/>
          <w:sz w:val="24"/>
          <w:szCs w:val="24"/>
        </w:rPr>
      </w:pPr>
    </w:p>
    <w:p w14:paraId="07CCEE02" w14:textId="77777777" w:rsidR="00401A3E" w:rsidRDefault="00401A3E" w:rsidP="00401A3E">
      <w:pPr>
        <w:pBdr>
          <w:bottom w:val="single" w:sz="12" w:space="1" w:color="auto"/>
        </w:pBdr>
        <w:rPr>
          <w:rFonts w:cs="Arial"/>
        </w:rPr>
      </w:pPr>
    </w:p>
    <w:p w14:paraId="5BD37EBE" w14:textId="57392FF3" w:rsidR="00401A3E" w:rsidRDefault="00401A3E" w:rsidP="00401A3E">
      <w:pPr>
        <w:rPr>
          <w:b/>
          <w:bCs/>
          <w:noProof/>
        </w:rPr>
      </w:pPr>
      <w:r>
        <w:rPr>
          <w:noProof/>
        </w:rPr>
        <w:drawing>
          <wp:anchor distT="0" distB="0" distL="114300" distR="114300" simplePos="0" relativeHeight="251659264" behindDoc="0" locked="0" layoutInCell="1" allowOverlap="1" wp14:anchorId="5DAE6E5E" wp14:editId="7EBDECFA">
            <wp:simplePos x="0" y="0"/>
            <wp:positionH relativeFrom="column">
              <wp:posOffset>4004945</wp:posOffset>
            </wp:positionH>
            <wp:positionV relativeFrom="paragraph">
              <wp:posOffset>59055</wp:posOffset>
            </wp:positionV>
            <wp:extent cx="359410" cy="359410"/>
            <wp:effectExtent l="0" t="0" r="2540" b="2540"/>
            <wp:wrapNone/>
            <wp:docPr id="6" name="Grafik 6"/>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Pr>
          <w:b/>
          <w:bCs/>
        </w:rPr>
        <w:t>Geben Sie uns ein Feedback zu diesem Unterrichtsmaterial!</w:t>
      </w:r>
    </w:p>
    <w:p w14:paraId="6B99FC71" w14:textId="5BB22BD1" w:rsidR="00733E89" w:rsidRDefault="00401A3E" w:rsidP="00401A3E">
      <w:pPr>
        <w:rPr>
          <w:rFonts w:cs="Arial"/>
        </w:rPr>
      </w:pPr>
      <w:hyperlink r:id="rId10" w:history="1">
        <w:r>
          <w:rPr>
            <w:rStyle w:val="Hyperlink"/>
            <w:sz w:val="20"/>
            <w:szCs w:val="20"/>
          </w:rPr>
          <w:t>https://online-befragungen.it.nrw.de/kf/?p1=4&amp;p2=1&amp;p3=2&amp;_init=true</w:t>
        </w:r>
      </w:hyperlink>
    </w:p>
    <w:sectPr w:rsidR="00733E89" w:rsidSect="00560845">
      <w:headerReference w:type="default" r:id="rId11"/>
      <w:footerReference w:type="default" r:id="rId12"/>
      <w:pgSz w:w="11906" w:h="16838"/>
      <w:pgMar w:top="284" w:right="567" w:bottom="1134" w:left="567" w:header="284"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195CA" w14:textId="77777777" w:rsidR="00B4066E" w:rsidRDefault="00B4066E">
      <w:pPr>
        <w:spacing w:after="0" w:line="240" w:lineRule="auto"/>
      </w:pPr>
      <w:r>
        <w:separator/>
      </w:r>
    </w:p>
  </w:endnote>
  <w:endnote w:type="continuationSeparator" w:id="0">
    <w:p w14:paraId="7805E1DD" w14:textId="77777777" w:rsidR="00B4066E" w:rsidRDefault="00B40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2E5F" w14:textId="77777777" w:rsidR="00733E89" w:rsidRDefault="00733E89">
    <w:pPr>
      <w:pStyle w:val="Fuzeile"/>
      <w:pBdr>
        <w:bottom w:val="single" w:sz="6" w:space="1" w:color="000000"/>
      </w:pBdr>
      <w:rPr>
        <w:rFonts w:cs="Arial"/>
        <w:sz w:val="16"/>
        <w:szCs w:val="16"/>
      </w:rPr>
    </w:pPr>
  </w:p>
  <w:p w14:paraId="37F8F423" w14:textId="77777777" w:rsidR="00733E89" w:rsidRDefault="00134FE7">
    <w:pPr>
      <w:pStyle w:val="Fuzeile"/>
      <w:rPr>
        <w:rFonts w:cs="Arial"/>
        <w:sz w:val="6"/>
        <w:szCs w:val="6"/>
      </w:rPr>
    </w:pPr>
    <w:r>
      <w:rPr>
        <w:rFonts w:cs="Arial"/>
        <w:sz w:val="16"/>
        <w:szCs w:val="16"/>
      </w:rPr>
      <w:br/>
      <w:t xml:space="preserve">Aufgabenstellung und Unterrichtsmaterial wurden erstellt vom Institut für Geographiedidaktik der Universität zu Köln in Zusammenarbeit mit dem Statistischen Landesamt Nordrhein-Westfalen (IT.NRW). </w:t>
    </w:r>
    <w:r>
      <w:rPr>
        <w:rFonts w:cs="Arial"/>
        <w:sz w:val="6"/>
        <w:szCs w:val="6"/>
      </w:rPr>
      <w:br/>
    </w:r>
    <w:r>
      <w:rPr>
        <w:rFonts w:cs="Arial"/>
        <w:sz w:val="6"/>
        <w:szCs w:val="6"/>
      </w:rPr>
      <w:br/>
    </w:r>
    <w:r>
      <w:rPr>
        <w:rFonts w:cs="Arial"/>
        <w:sz w:val="16"/>
        <w:szCs w:val="16"/>
      </w:rPr>
      <w:t xml:space="preserve">Weitere Informationen und Materialien finden Sie hier: </w:t>
    </w:r>
    <w:r>
      <w:rPr>
        <w:rFonts w:cs="Arial"/>
        <w:b/>
        <w:bCs/>
        <w:sz w:val="16"/>
        <w:szCs w:val="16"/>
      </w:rPr>
      <w:t>statistik.nrw/schulmaterial</w:t>
    </w:r>
    <w:r>
      <w:rPr>
        <w:rFonts w:cs="Arial"/>
        <w:b/>
        <w:bCs/>
        <w:sz w:val="6"/>
        <w:szCs w:val="6"/>
      </w:rPr>
      <w:br/>
    </w:r>
  </w:p>
  <w:p w14:paraId="64BAC5D8" w14:textId="67214AD3" w:rsidR="00733E89" w:rsidRDefault="00134FE7">
    <w:pPr>
      <w:pStyle w:val="Fuzeile"/>
    </w:pPr>
    <w:r>
      <w:rPr>
        <w:rFonts w:cs="Arial"/>
        <w:sz w:val="16"/>
        <w:szCs w:val="16"/>
      </w:rPr>
      <w:t>© Das Material unterliegt der CC BY-SA 4.0-Lizenz.</w:t>
    </w:r>
    <w:r w:rsidR="00560845">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693F" w14:textId="77777777" w:rsidR="00B4066E" w:rsidRDefault="00B4066E">
      <w:pPr>
        <w:spacing w:after="0" w:line="240" w:lineRule="auto"/>
      </w:pPr>
      <w:r>
        <w:separator/>
      </w:r>
    </w:p>
  </w:footnote>
  <w:footnote w:type="continuationSeparator" w:id="0">
    <w:p w14:paraId="1163DCE0" w14:textId="77777777" w:rsidR="00B4066E" w:rsidRDefault="00B40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7BDD" w14:textId="77777777" w:rsidR="00733E89" w:rsidRDefault="00134FE7">
    <w:pPr>
      <w:jc w:val="right"/>
    </w:pPr>
    <w:r>
      <w:rPr>
        <w:noProof/>
        <w:lang w:eastAsia="de-DE"/>
      </w:rPr>
      <mc:AlternateContent>
        <mc:Choice Requires="wpg">
          <w:drawing>
            <wp:inline distT="0" distB="0" distL="0" distR="0" wp14:anchorId="0AADC999" wp14:editId="481BAAA1">
              <wp:extent cx="1145540" cy="434426"/>
              <wp:effectExtent l="0" t="0" r="0" b="3810"/>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158825" cy="439464"/>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20pt;height:34.21pt;mso-wrap-distance-left:0.00pt;mso-wrap-distance-top:0.00pt;mso-wrap-distance-right:0.00pt;mso-wrap-distance-bottom:0.00pt;z-index:1;" stroked="false">
              <v:imagedata r:id="rId2" o:title=""/>
              <o:lock v:ext="edit" rotation="t"/>
            </v:shape>
          </w:pict>
        </mc:Fallback>
      </mc:AlternateContent>
    </w:r>
    <w:r>
      <w:rPr>
        <w:noProof/>
        <w:lang w:eastAsia="de-DE"/>
      </w:rPr>
      <mc:AlternateContent>
        <mc:Choice Requires="wpg">
          <w:drawing>
            <wp:inline distT="0" distB="0" distL="0" distR="0" wp14:anchorId="686DB73B" wp14:editId="541B3CFB">
              <wp:extent cx="516600" cy="439200"/>
              <wp:effectExtent l="0" t="0" r="0" b="0"/>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516600" cy="439200"/>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0.68pt;height:34.58pt;mso-wrap-distance-left:0.00pt;mso-wrap-distance-top:0.00pt;mso-wrap-distance-right:0.00pt;mso-wrap-distance-bottom:0.00pt;z-index:1;" stroked="false">
              <v:imagedata r:id="rId4" o:title=""/>
              <o:lock v:ext="edit" rotation="t"/>
            </v:shape>
          </w:pict>
        </mc:Fallback>
      </mc:AlternateContent>
    </w:r>
    <w:r>
      <w:rPr>
        <w:noProof/>
        <w:lang w:eastAsia="de-DE"/>
      </w:rPr>
      <mc:AlternateContent>
        <mc:Choice Requires="wpg">
          <w:drawing>
            <wp:inline distT="0" distB="0" distL="0" distR="0" wp14:anchorId="33FF4E43" wp14:editId="646A3B73">
              <wp:extent cx="1713185" cy="427163"/>
              <wp:effectExtent l="0" t="0" r="1905" b="0"/>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738201" cy="433400"/>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4.90pt;height:33.63pt;mso-wrap-distance-left:0.00pt;mso-wrap-distance-top:0.00pt;mso-wrap-distance-right:0.00pt;mso-wrap-distance-bottom:0.00pt;z-index:1;" stroked="false">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6DCC"/>
    <w:multiLevelType w:val="multilevel"/>
    <w:tmpl w:val="D2C0B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CF75F8"/>
    <w:multiLevelType w:val="multilevel"/>
    <w:tmpl w:val="03F8A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272DD"/>
    <w:multiLevelType w:val="multilevel"/>
    <w:tmpl w:val="9BFEC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7A1DBE"/>
    <w:multiLevelType w:val="multilevel"/>
    <w:tmpl w:val="66D6B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AF7B28"/>
    <w:multiLevelType w:val="multilevel"/>
    <w:tmpl w:val="04DE37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BE84C8C"/>
    <w:multiLevelType w:val="multilevel"/>
    <w:tmpl w:val="CE6A4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3534C6C"/>
    <w:multiLevelType w:val="multilevel"/>
    <w:tmpl w:val="311C5960"/>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DEB3DC9"/>
    <w:multiLevelType w:val="multilevel"/>
    <w:tmpl w:val="03AE753A"/>
    <w:lvl w:ilvl="0">
      <w:start w:val="1"/>
      <w:numFmt w:val="bullet"/>
      <w:lvlText w:val=""/>
      <w:lvlJc w:val="left"/>
      <w:pPr>
        <w:ind w:left="360" w:hanging="360"/>
      </w:pPr>
      <w:rPr>
        <w:rFonts w:ascii="Symbol" w:hAnsi="Symbol" w:hint="default"/>
        <w:color w:val="ED7D31" w:themeColor="accent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602E0A64"/>
    <w:multiLevelType w:val="multilevel"/>
    <w:tmpl w:val="B22CB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4C56E9"/>
    <w:multiLevelType w:val="multilevel"/>
    <w:tmpl w:val="EC74AF1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77C80A81"/>
    <w:multiLevelType w:val="multilevel"/>
    <w:tmpl w:val="6BB20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4"/>
  </w:num>
  <w:num w:numId="4">
    <w:abstractNumId w:val="10"/>
  </w:num>
  <w:num w:numId="5">
    <w:abstractNumId w:val="8"/>
  </w:num>
  <w:num w:numId="6">
    <w:abstractNumId w:val="5"/>
  </w:num>
  <w:num w:numId="7">
    <w:abstractNumId w:val="1"/>
  </w:num>
  <w:num w:numId="8">
    <w:abstractNumId w:val="2"/>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89"/>
    <w:rsid w:val="000355A2"/>
    <w:rsid w:val="00134FE7"/>
    <w:rsid w:val="00401A3E"/>
    <w:rsid w:val="00426D17"/>
    <w:rsid w:val="00464AC8"/>
    <w:rsid w:val="00560845"/>
    <w:rsid w:val="00733E89"/>
    <w:rsid w:val="00AA3F82"/>
    <w:rsid w:val="00B4066E"/>
    <w:rsid w:val="00BC755F"/>
    <w:rsid w:val="00CA3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70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character" w:customStyle="1" w:styleId="FootnoteTextChar">
    <w:name w:val="Footnote Text Char"/>
    <w:basedOn w:val="Absatz-Standardschriftart"/>
    <w:uiPriority w:val="99"/>
    <w:semiHidden/>
    <w:rPr>
      <w:sz w:val="20"/>
      <w:szCs w:val="20"/>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954F72" w:themeColor="followedHyperlink"/>
      <w:u w:val="singl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Listenabsatz">
    <w:name w:val="List Paragraph"/>
    <w:basedOn w:val="Standard"/>
    <w:link w:val="ListenabsatzZchn"/>
    <w:uiPriority w:val="34"/>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apple-converted-space">
    <w:name w:val="apple-converted-space"/>
    <w:basedOn w:val="Absatz-Standardschriftart"/>
  </w:style>
  <w:style w:type="table" w:styleId="Gitternetztabelle5dunkelAkzent6">
    <w:name w:val="Grid Table 5 Dark Accent 6"/>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563C1" w:themeColor="hyperlink"/>
      <w:u w:val="single"/>
    </w:rPr>
  </w:style>
  <w:style w:type="character" w:styleId="HTMLZitat">
    <w:name w:val="HTML Cite"/>
    <w:basedOn w:val="Absatz-Standardschriftart"/>
    <w:uiPriority w:val="99"/>
    <w:semiHidden/>
    <w:unhideWhenUsed/>
    <w:rPr>
      <w:i/>
      <w:iCs/>
    </w:rPr>
  </w:style>
  <w:style w:type="paragraph" w:styleId="StandardWeb">
    <w:name w:val="Normal (Web)"/>
    <w:basedOn w:val="Standard"/>
    <w:uiPriority w:val="99"/>
    <w:unhideWhenUsed/>
    <w:rPr>
      <w:rFonts w:ascii="Times New Roman" w:hAnsi="Times New Roman" w:cs="Times New Roman"/>
      <w:sz w:val="24"/>
      <w:szCs w:val="24"/>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16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ektrum.de/lexikon/geographie/daseinsgrundfunktionen/149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nline-befragungen.it.nrw.de/kf/?p1=4&amp;p2=1&amp;p3=2&amp;_init=true" TargetMode="External"/><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0.png"/><Relationship Id="rId1" Type="http://schemas.openxmlformats.org/officeDocument/2006/relationships/image" Target="media/image3.png"/><Relationship Id="rId6" Type="http://schemas.openxmlformats.org/officeDocument/2006/relationships/image" Target="media/image30.png"/><Relationship Id="rId5" Type="http://schemas.openxmlformats.org/officeDocument/2006/relationships/image" Target="media/image5.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4310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2025-05-23T08:01:00Z</dcterms:created>
  <dcterms:modified xsi:type="dcterms:W3CDTF">2025-06-04T07:11:00Z</dcterms:modified>
</cp:coreProperties>
</file>