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60D4" w14:textId="77777777" w:rsidR="00C123B4" w:rsidRDefault="00C123B4">
      <w:pPr>
        <w:jc w:val="both"/>
        <w:rPr>
          <w:rFonts w:cs="Arial"/>
        </w:rPr>
      </w:pPr>
    </w:p>
    <w:tbl>
      <w:tblPr>
        <w:tblStyle w:val="Tabellenraster"/>
        <w:tblW w:w="107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900"/>
        <w:gridCol w:w="3394"/>
        <w:gridCol w:w="1058"/>
        <w:gridCol w:w="3861"/>
        <w:gridCol w:w="290"/>
      </w:tblGrid>
      <w:tr w:rsidR="00C123B4" w14:paraId="7DE0E8A8" w14:textId="77777777" w:rsidTr="00F449B5">
        <w:tc>
          <w:tcPr>
            <w:tcW w:w="10773" w:type="dxa"/>
            <w:gridSpan w:val="6"/>
          </w:tcPr>
          <w:p w14:paraId="13A38EAB" w14:textId="77777777" w:rsidR="00C123B4" w:rsidRDefault="00FA56AA">
            <w:pPr>
              <w:pStyle w:val="Kopfzeile"/>
              <w:tabs>
                <w:tab w:val="clear" w:pos="4536"/>
                <w:tab w:val="clear" w:pos="9072"/>
              </w:tabs>
              <w:ind w:right="-6"/>
              <w:jc w:val="both"/>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04A4EDF2" w14:textId="77777777" w:rsidR="00C123B4" w:rsidRDefault="00FA56AA">
            <w:pPr>
              <w:pStyle w:val="Kopfzeile"/>
              <w:jc w:val="both"/>
              <w:rPr>
                <w:rFonts w:cs="Arial"/>
                <w:color w:val="595959" w:themeColor="text1" w:themeTint="A6"/>
                <w:sz w:val="24"/>
                <w:szCs w:val="24"/>
              </w:rPr>
            </w:pPr>
            <w:r>
              <w:rPr>
                <w:rFonts w:cs="Arial"/>
                <w:color w:val="595959" w:themeColor="text1" w:themeTint="A6"/>
                <w:sz w:val="24"/>
                <w:szCs w:val="24"/>
              </w:rPr>
              <w:t>Material für Lehrpersonen</w:t>
            </w:r>
          </w:p>
          <w:p w14:paraId="46491CC1" w14:textId="77777777" w:rsidR="00C123B4" w:rsidRDefault="00C123B4">
            <w:pPr>
              <w:pStyle w:val="Kopfzeile"/>
              <w:jc w:val="both"/>
              <w:rPr>
                <w:rFonts w:cs="Arial"/>
                <w:color w:val="595959" w:themeColor="text1" w:themeTint="A6"/>
                <w:sz w:val="24"/>
                <w:szCs w:val="24"/>
              </w:rPr>
            </w:pPr>
          </w:p>
        </w:tc>
      </w:tr>
      <w:tr w:rsidR="00C123B4" w14:paraId="4BC37BF7" w14:textId="77777777" w:rsidTr="00F449B5">
        <w:trPr>
          <w:gridAfter w:val="1"/>
          <w:wAfter w:w="290" w:type="dxa"/>
          <w:trHeight w:val="588"/>
        </w:trPr>
        <w:tc>
          <w:tcPr>
            <w:tcW w:w="1270" w:type="dxa"/>
            <w:shd w:val="clear" w:color="auto" w:fill="auto"/>
            <w:vAlign w:val="center"/>
          </w:tcPr>
          <w:p w14:paraId="384A7F5A" w14:textId="67AD7C89" w:rsidR="00C123B4" w:rsidRDefault="00FA56AA">
            <w:pPr>
              <w:jc w:val="both"/>
              <w:rPr>
                <w:rFonts w:cs="Arial"/>
                <w:sz w:val="28"/>
                <w:szCs w:val="28"/>
              </w:rPr>
            </w:pPr>
            <w:r>
              <w:rPr>
                <w:rFonts w:cs="Arial"/>
                <w:sz w:val="28"/>
                <w:szCs w:val="28"/>
              </w:rPr>
              <w:t xml:space="preserve">NR </w:t>
            </w:r>
            <w:r w:rsidR="000F3497">
              <w:rPr>
                <w:rFonts w:cs="Arial"/>
                <w:sz w:val="28"/>
                <w:szCs w:val="28"/>
              </w:rPr>
              <w:t>L</w:t>
            </w:r>
            <w:r w:rsidR="0055286F">
              <w:rPr>
                <w:rFonts w:cs="Arial"/>
                <w:sz w:val="28"/>
                <w:szCs w:val="28"/>
              </w:rPr>
              <w:t>27</w:t>
            </w:r>
          </w:p>
        </w:tc>
        <w:tc>
          <w:tcPr>
            <w:tcW w:w="9213" w:type="dxa"/>
            <w:gridSpan w:val="4"/>
            <w:vAlign w:val="center"/>
          </w:tcPr>
          <w:p w14:paraId="1D045F29" w14:textId="4B647954" w:rsidR="00C123B4" w:rsidRPr="00CB1C35" w:rsidRDefault="00734758" w:rsidP="00CB1C35">
            <w:pPr>
              <w:rPr>
                <w:rFonts w:cs="Arial"/>
                <w:sz w:val="28"/>
                <w:szCs w:val="28"/>
              </w:rPr>
            </w:pPr>
            <w:r w:rsidRPr="00CB1C35">
              <w:rPr>
                <w:rFonts w:cstheme="minorHAnsi"/>
                <w:b/>
                <w:bCs/>
                <w:color w:val="1F3864" w:themeColor="accent1" w:themeShade="80"/>
                <w:sz w:val="28"/>
                <w:szCs w:val="28"/>
              </w:rPr>
              <w:t xml:space="preserve">Daseinsgrundfunktionen und Bedürfnisse: </w:t>
            </w:r>
            <w:r w:rsidR="0081452A" w:rsidRPr="00CB1C35">
              <w:rPr>
                <w:rFonts w:cstheme="minorHAnsi"/>
                <w:b/>
                <w:bCs/>
                <w:color w:val="002060"/>
                <w:sz w:val="28"/>
                <w:szCs w:val="28"/>
              </w:rPr>
              <w:t>Wo lebt es sich in NRW besonders familienfreundlich?</w:t>
            </w:r>
          </w:p>
        </w:tc>
      </w:tr>
      <w:tr w:rsidR="00C123B4" w14:paraId="4E5984A9" w14:textId="77777777" w:rsidTr="00F449B5">
        <w:trPr>
          <w:trHeight w:val="588"/>
        </w:trPr>
        <w:tc>
          <w:tcPr>
            <w:tcW w:w="10773" w:type="dxa"/>
            <w:gridSpan w:val="6"/>
            <w:shd w:val="clear" w:color="auto" w:fill="auto"/>
            <w:vAlign w:val="center"/>
          </w:tcPr>
          <w:p w14:paraId="75335BE6" w14:textId="77777777" w:rsidR="00C123B4" w:rsidRPr="00CB1C35" w:rsidRDefault="00FA56AA">
            <w:pPr>
              <w:jc w:val="both"/>
              <w:rPr>
                <w:rFonts w:cs="Arial"/>
                <w:color w:val="1F3864" w:themeColor="accent1" w:themeShade="80"/>
              </w:rPr>
            </w:pPr>
            <w:r w:rsidRPr="0076294E">
              <w:rPr>
                <w:rFonts w:cs="Arial"/>
              </w:rPr>
              <w:t xml:space="preserve">Nida </w:t>
            </w:r>
            <w:proofErr w:type="spellStart"/>
            <w:r w:rsidRPr="0076294E">
              <w:rPr>
                <w:rFonts w:cs="Arial"/>
              </w:rPr>
              <w:t>Sendur</w:t>
            </w:r>
            <w:proofErr w:type="spellEnd"/>
            <w:r w:rsidRPr="0076294E">
              <w:rPr>
                <w:rFonts w:cs="Arial"/>
              </w:rPr>
              <w:t xml:space="preserve">, Julia </w:t>
            </w:r>
            <w:proofErr w:type="spellStart"/>
            <w:r w:rsidRPr="0076294E">
              <w:rPr>
                <w:rFonts w:cs="Arial"/>
              </w:rPr>
              <w:t>Poljaschenko</w:t>
            </w:r>
            <w:proofErr w:type="spellEnd"/>
            <w:r w:rsidR="003D610E" w:rsidRPr="0076294E">
              <w:rPr>
                <w:rFonts w:cs="Arial"/>
              </w:rPr>
              <w:t xml:space="preserve"> und Alexandra Budke</w:t>
            </w:r>
          </w:p>
        </w:tc>
      </w:tr>
      <w:tr w:rsidR="00C123B4" w14:paraId="7CFA0FC5" w14:textId="77777777" w:rsidTr="00F449B5">
        <w:trPr>
          <w:trHeight w:val="1575"/>
        </w:trPr>
        <w:tc>
          <w:tcPr>
            <w:tcW w:w="6622" w:type="dxa"/>
            <w:gridSpan w:val="4"/>
            <w:vAlign w:val="center"/>
          </w:tcPr>
          <w:p w14:paraId="5B4315D8" w14:textId="77777777" w:rsidR="00C123B4" w:rsidRPr="00CB1C35" w:rsidRDefault="00FA56AA">
            <w:pPr>
              <w:jc w:val="both"/>
              <w:rPr>
                <w:rFonts w:cs="Arial"/>
                <w:b/>
                <w:bCs/>
                <w:color w:val="000000" w:themeColor="text1"/>
              </w:rPr>
            </w:pPr>
            <w:r w:rsidRPr="00CB1C35">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151" w:type="dxa"/>
            <w:gridSpan w:val="2"/>
            <w:shd w:val="clear" w:color="auto" w:fill="EDF1F9"/>
            <w:vAlign w:val="center"/>
          </w:tcPr>
          <w:p w14:paraId="075400CF" w14:textId="77777777" w:rsidR="00CB1C35" w:rsidRPr="00CB1C35" w:rsidRDefault="00CB1C35" w:rsidP="00CB1C35">
            <w:pPr>
              <w:spacing w:after="120"/>
              <w:rPr>
                <w:rFonts w:cstheme="minorHAnsi"/>
                <w:b/>
                <w:bCs/>
                <w:color w:val="1F3864" w:themeColor="accent1" w:themeShade="80"/>
                <w:sz w:val="20"/>
                <w:szCs w:val="20"/>
              </w:rPr>
            </w:pPr>
            <w:r w:rsidRPr="00CB1C35">
              <w:rPr>
                <w:rFonts w:cstheme="minorHAnsi"/>
                <w:b/>
                <w:bCs/>
                <w:color w:val="1F3864" w:themeColor="accent1" w:themeShade="80"/>
                <w:sz w:val="20"/>
                <w:szCs w:val="20"/>
              </w:rPr>
              <w:t>KARTENBASIERTE ARGUMENTATION</w:t>
            </w:r>
          </w:p>
          <w:p w14:paraId="1A81B499" w14:textId="2BC88FAF" w:rsidR="00C123B4" w:rsidRDefault="00F45577" w:rsidP="00F45577">
            <w:pPr>
              <w:pStyle w:val="StandardWeb"/>
            </w:pPr>
            <w:r w:rsidRPr="00CB1C35">
              <w:rPr>
                <w:rFonts w:asciiTheme="minorHAnsi" w:hAnsiTheme="minorHAnsi"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C123B4" w14:paraId="3664BF18" w14:textId="77777777" w:rsidTr="00F449B5">
        <w:trPr>
          <w:trHeight w:val="1146"/>
        </w:trPr>
        <w:tc>
          <w:tcPr>
            <w:tcW w:w="10773" w:type="dxa"/>
            <w:gridSpan w:val="6"/>
            <w:vAlign w:val="center"/>
          </w:tcPr>
          <w:p w14:paraId="203BEFA1" w14:textId="77777777" w:rsidR="00C123B4" w:rsidRPr="00CB1C35" w:rsidRDefault="00FA56AA">
            <w:pPr>
              <w:spacing w:after="120"/>
              <w:jc w:val="both"/>
              <w:rPr>
                <w:rFonts w:cs="Arial"/>
                <w:b/>
                <w:bCs/>
                <w:color w:val="1F3864" w:themeColor="accent1" w:themeShade="80"/>
              </w:rPr>
            </w:pPr>
            <w:r w:rsidRPr="00CB1C35">
              <w:rPr>
                <w:rFonts w:cs="Arial"/>
                <w:color w:val="000000" w:themeColor="text1"/>
              </w:rPr>
              <w:t>Die folgende Tabelle gibt Ihnen einen Überblick über die Einsatzmöglichkeiten im Unterricht:</w:t>
            </w:r>
          </w:p>
        </w:tc>
      </w:tr>
      <w:tr w:rsidR="00C123B4" w14:paraId="73FA3099" w14:textId="77777777" w:rsidTr="00F449B5">
        <w:trPr>
          <w:trHeight w:val="555"/>
        </w:trPr>
        <w:tc>
          <w:tcPr>
            <w:tcW w:w="10773" w:type="dxa"/>
            <w:gridSpan w:val="6"/>
            <w:shd w:val="clear" w:color="auto" w:fill="ACB9CA" w:themeFill="text2" w:themeFillTint="66"/>
            <w:vAlign w:val="center"/>
          </w:tcPr>
          <w:p w14:paraId="5203B9C2" w14:textId="77777777" w:rsidR="00C123B4" w:rsidRPr="00CB1C35" w:rsidRDefault="00FA56AA">
            <w:pPr>
              <w:jc w:val="both"/>
              <w:rPr>
                <w:rFonts w:cstheme="minorHAnsi"/>
                <w:b/>
                <w:bCs/>
                <w:color w:val="1C3158"/>
                <w:sz w:val="20"/>
                <w:szCs w:val="20"/>
              </w:rPr>
            </w:pPr>
            <w:r w:rsidRPr="00CB1C35">
              <w:rPr>
                <w:rFonts w:cstheme="minorHAnsi"/>
                <w:b/>
                <w:bCs/>
                <w:color w:val="1C3158"/>
                <w:sz w:val="20"/>
                <w:szCs w:val="20"/>
              </w:rPr>
              <w:t>Übersicht:</w:t>
            </w:r>
          </w:p>
        </w:tc>
      </w:tr>
      <w:tr w:rsidR="00C123B4" w14:paraId="66AFD349" w14:textId="77777777" w:rsidTr="00F449B5">
        <w:trPr>
          <w:trHeight w:val="291"/>
        </w:trPr>
        <w:tc>
          <w:tcPr>
            <w:tcW w:w="2170" w:type="dxa"/>
            <w:gridSpan w:val="2"/>
            <w:shd w:val="clear" w:color="auto" w:fill="EDF1F9"/>
            <w:vAlign w:val="center"/>
          </w:tcPr>
          <w:p w14:paraId="602757B7" w14:textId="77777777" w:rsidR="00C123B4" w:rsidRPr="00CB1C35" w:rsidRDefault="00FA56AA">
            <w:pPr>
              <w:spacing w:before="120" w:after="120"/>
              <w:jc w:val="both"/>
              <w:rPr>
                <w:rFonts w:cstheme="minorHAnsi"/>
                <w:color w:val="1F3864" w:themeColor="accent1" w:themeShade="80"/>
                <w:sz w:val="20"/>
                <w:szCs w:val="20"/>
              </w:rPr>
            </w:pPr>
            <w:r w:rsidRPr="00CB1C35">
              <w:rPr>
                <w:rFonts w:cstheme="minorHAnsi"/>
                <w:color w:val="1F3864" w:themeColor="accent1" w:themeShade="80"/>
                <w:sz w:val="20"/>
                <w:szCs w:val="20"/>
              </w:rPr>
              <w:t xml:space="preserve">Fächer </w:t>
            </w:r>
          </w:p>
        </w:tc>
        <w:tc>
          <w:tcPr>
            <w:tcW w:w="8603" w:type="dxa"/>
            <w:gridSpan w:val="4"/>
            <w:shd w:val="clear" w:color="auto" w:fill="EDF1F9"/>
            <w:vAlign w:val="center"/>
          </w:tcPr>
          <w:p w14:paraId="605CE451" w14:textId="77777777" w:rsidR="00C123B4" w:rsidRPr="00CB1C35" w:rsidRDefault="00FA56AA">
            <w:pPr>
              <w:spacing w:before="120" w:after="120"/>
              <w:ind w:right="539"/>
              <w:jc w:val="both"/>
              <w:rPr>
                <w:rFonts w:cstheme="minorHAnsi"/>
                <w:color w:val="1F3864" w:themeColor="accent1" w:themeShade="80"/>
                <w:sz w:val="20"/>
                <w:szCs w:val="20"/>
              </w:rPr>
            </w:pPr>
            <w:r w:rsidRPr="00CB1C35">
              <w:rPr>
                <w:rFonts w:cstheme="minorHAnsi"/>
                <w:color w:val="1F3864" w:themeColor="accent1" w:themeShade="80"/>
                <w:sz w:val="20"/>
                <w:szCs w:val="20"/>
              </w:rPr>
              <w:t>Erdkunde</w:t>
            </w:r>
          </w:p>
        </w:tc>
      </w:tr>
      <w:tr w:rsidR="00C123B4" w14:paraId="3731E768" w14:textId="77777777" w:rsidTr="00F449B5">
        <w:tc>
          <w:tcPr>
            <w:tcW w:w="2170" w:type="dxa"/>
            <w:gridSpan w:val="2"/>
            <w:shd w:val="clear" w:color="auto" w:fill="EDF1F9"/>
            <w:vAlign w:val="center"/>
          </w:tcPr>
          <w:p w14:paraId="02498BE3" w14:textId="77777777" w:rsidR="00C123B4" w:rsidRPr="00CB1C35" w:rsidRDefault="00FA56AA">
            <w:pPr>
              <w:spacing w:before="120" w:after="120"/>
              <w:jc w:val="both"/>
              <w:rPr>
                <w:rFonts w:cstheme="minorHAnsi"/>
                <w:color w:val="1F3864" w:themeColor="accent1" w:themeShade="80"/>
                <w:sz w:val="20"/>
                <w:szCs w:val="20"/>
              </w:rPr>
            </w:pPr>
            <w:r w:rsidRPr="00CB1C35">
              <w:rPr>
                <w:rFonts w:cstheme="minorHAnsi"/>
                <w:color w:val="1F3864" w:themeColor="accent1" w:themeShade="80"/>
                <w:sz w:val="20"/>
                <w:szCs w:val="20"/>
              </w:rPr>
              <w:t>Schulform(en)</w:t>
            </w:r>
          </w:p>
        </w:tc>
        <w:tc>
          <w:tcPr>
            <w:tcW w:w="8603" w:type="dxa"/>
            <w:gridSpan w:val="4"/>
            <w:shd w:val="clear" w:color="auto" w:fill="EDF1F9"/>
            <w:vAlign w:val="center"/>
          </w:tcPr>
          <w:p w14:paraId="5A883A50" w14:textId="1884C568" w:rsidR="00C123B4" w:rsidRPr="00CB1C35" w:rsidRDefault="00FA56AA">
            <w:pPr>
              <w:spacing w:before="120" w:after="120"/>
              <w:jc w:val="both"/>
              <w:rPr>
                <w:rFonts w:cstheme="minorHAnsi"/>
                <w:color w:val="1F3864" w:themeColor="accent1" w:themeShade="80"/>
                <w:sz w:val="20"/>
                <w:szCs w:val="20"/>
              </w:rPr>
            </w:pPr>
            <w:r w:rsidRPr="00CB1C35">
              <w:rPr>
                <w:rFonts w:cstheme="minorHAnsi"/>
                <w:color w:val="1F3864" w:themeColor="accent1" w:themeShade="80"/>
                <w:sz w:val="20"/>
                <w:szCs w:val="20"/>
              </w:rPr>
              <w:t>Gymnasium</w:t>
            </w:r>
            <w:r w:rsidR="003D3984" w:rsidRPr="00CB1C35">
              <w:rPr>
                <w:rFonts w:cstheme="minorHAnsi"/>
                <w:color w:val="1F3864" w:themeColor="accent1" w:themeShade="80"/>
                <w:sz w:val="20"/>
                <w:szCs w:val="20"/>
              </w:rPr>
              <w:t>, Gesamtschule</w:t>
            </w:r>
          </w:p>
        </w:tc>
      </w:tr>
      <w:tr w:rsidR="00C123B4" w14:paraId="2EFAF87E" w14:textId="77777777" w:rsidTr="00F449B5">
        <w:tc>
          <w:tcPr>
            <w:tcW w:w="2170" w:type="dxa"/>
            <w:gridSpan w:val="2"/>
            <w:shd w:val="clear" w:color="auto" w:fill="EDF1F9"/>
            <w:vAlign w:val="center"/>
          </w:tcPr>
          <w:p w14:paraId="1087512F" w14:textId="77777777" w:rsidR="00C123B4" w:rsidRPr="00CB1C35" w:rsidRDefault="00FA56AA">
            <w:pPr>
              <w:spacing w:before="120" w:after="120"/>
              <w:jc w:val="both"/>
              <w:rPr>
                <w:rFonts w:cstheme="minorHAnsi"/>
                <w:color w:val="1F3864" w:themeColor="accent1" w:themeShade="80"/>
                <w:sz w:val="20"/>
                <w:szCs w:val="20"/>
              </w:rPr>
            </w:pPr>
            <w:r w:rsidRPr="00CB1C35">
              <w:rPr>
                <w:rFonts w:cstheme="minorHAnsi"/>
                <w:color w:val="1F3864" w:themeColor="accent1" w:themeShade="80"/>
                <w:sz w:val="20"/>
                <w:szCs w:val="20"/>
              </w:rPr>
              <w:t>Jahrgangsstufe(n)</w:t>
            </w:r>
          </w:p>
        </w:tc>
        <w:tc>
          <w:tcPr>
            <w:tcW w:w="8603" w:type="dxa"/>
            <w:gridSpan w:val="4"/>
            <w:shd w:val="clear" w:color="auto" w:fill="EDF1F9"/>
            <w:vAlign w:val="center"/>
          </w:tcPr>
          <w:p w14:paraId="324227BB" w14:textId="77777777" w:rsidR="00C123B4" w:rsidRPr="00CB1C35" w:rsidRDefault="00FA56AA">
            <w:pPr>
              <w:spacing w:before="120" w:after="120"/>
              <w:jc w:val="both"/>
              <w:rPr>
                <w:rFonts w:cstheme="minorHAnsi"/>
                <w:color w:val="1F3864" w:themeColor="accent1" w:themeShade="80"/>
                <w:sz w:val="20"/>
                <w:szCs w:val="20"/>
              </w:rPr>
            </w:pPr>
            <w:r w:rsidRPr="00CB1C35">
              <w:rPr>
                <w:rFonts w:cstheme="minorHAnsi"/>
                <w:color w:val="1F3864" w:themeColor="accent1" w:themeShade="80"/>
                <w:sz w:val="20"/>
                <w:szCs w:val="20"/>
              </w:rPr>
              <w:t>11-13</w:t>
            </w:r>
          </w:p>
        </w:tc>
      </w:tr>
      <w:tr w:rsidR="00C123B4" w14:paraId="65F4B011" w14:textId="77777777" w:rsidTr="00F449B5">
        <w:tc>
          <w:tcPr>
            <w:tcW w:w="2170" w:type="dxa"/>
            <w:gridSpan w:val="2"/>
            <w:shd w:val="clear" w:color="auto" w:fill="EDF1F9"/>
            <w:vAlign w:val="center"/>
          </w:tcPr>
          <w:p w14:paraId="6D1BBF28" w14:textId="77777777" w:rsidR="00C123B4" w:rsidRPr="00CB1C35" w:rsidRDefault="00FA56AA">
            <w:pPr>
              <w:spacing w:before="120" w:after="120"/>
              <w:jc w:val="both"/>
              <w:rPr>
                <w:rFonts w:cstheme="minorHAnsi"/>
                <w:color w:val="1F3864" w:themeColor="accent1" w:themeShade="80"/>
                <w:sz w:val="20"/>
                <w:szCs w:val="20"/>
              </w:rPr>
            </w:pPr>
            <w:r w:rsidRPr="00CB1C35">
              <w:rPr>
                <w:rFonts w:cstheme="minorHAnsi"/>
                <w:color w:val="1F3864" w:themeColor="accent1" w:themeShade="80"/>
                <w:sz w:val="20"/>
                <w:szCs w:val="20"/>
              </w:rPr>
              <w:t>Zeitbedarf</w:t>
            </w:r>
          </w:p>
        </w:tc>
        <w:tc>
          <w:tcPr>
            <w:tcW w:w="8603" w:type="dxa"/>
            <w:gridSpan w:val="4"/>
            <w:shd w:val="clear" w:color="auto" w:fill="EDF1F9"/>
            <w:vAlign w:val="center"/>
          </w:tcPr>
          <w:p w14:paraId="5C814303" w14:textId="77777777" w:rsidR="00C123B4" w:rsidRPr="00CB1C35" w:rsidRDefault="00FA56AA">
            <w:pPr>
              <w:spacing w:before="120" w:after="120"/>
              <w:jc w:val="both"/>
              <w:rPr>
                <w:rFonts w:cstheme="minorHAnsi"/>
                <w:color w:val="1F3864" w:themeColor="accent1" w:themeShade="80"/>
                <w:sz w:val="20"/>
                <w:szCs w:val="20"/>
              </w:rPr>
            </w:pPr>
            <w:r w:rsidRPr="00CB1C35">
              <w:rPr>
                <w:rFonts w:cstheme="minorHAnsi"/>
                <w:color w:val="1F3864" w:themeColor="accent1" w:themeShade="80"/>
                <w:sz w:val="20"/>
                <w:szCs w:val="20"/>
              </w:rPr>
              <w:t>90 Minuten</w:t>
            </w:r>
          </w:p>
        </w:tc>
      </w:tr>
      <w:tr w:rsidR="00C123B4" w14:paraId="2E2D3D9F" w14:textId="77777777" w:rsidTr="00F449B5">
        <w:tc>
          <w:tcPr>
            <w:tcW w:w="2170" w:type="dxa"/>
            <w:gridSpan w:val="2"/>
            <w:shd w:val="clear" w:color="auto" w:fill="EDF1F9"/>
            <w:vAlign w:val="center"/>
          </w:tcPr>
          <w:p w14:paraId="77135E2E" w14:textId="77777777" w:rsidR="00C123B4" w:rsidRPr="00CB1C35" w:rsidRDefault="00FA56AA" w:rsidP="00CB1C35">
            <w:pPr>
              <w:spacing w:before="120" w:after="120"/>
              <w:rPr>
                <w:rFonts w:cstheme="minorHAnsi"/>
                <w:color w:val="1F3864" w:themeColor="accent1" w:themeShade="80"/>
                <w:sz w:val="20"/>
                <w:szCs w:val="20"/>
              </w:rPr>
            </w:pPr>
            <w:r w:rsidRPr="00CB1C35">
              <w:rPr>
                <w:rFonts w:cstheme="minorHAnsi"/>
                <w:color w:val="1F3864" w:themeColor="accent1" w:themeShade="80"/>
                <w:sz w:val="20"/>
                <w:szCs w:val="20"/>
              </w:rPr>
              <w:t>Kompetenzen und Lernziele</w:t>
            </w:r>
          </w:p>
        </w:tc>
        <w:tc>
          <w:tcPr>
            <w:tcW w:w="8603" w:type="dxa"/>
            <w:gridSpan w:val="4"/>
            <w:shd w:val="clear" w:color="auto" w:fill="EDF1F9"/>
            <w:vAlign w:val="center"/>
          </w:tcPr>
          <w:p w14:paraId="3D10FB07" w14:textId="77777777" w:rsidR="00C123B4" w:rsidRPr="00CB1C35" w:rsidRDefault="00C123B4">
            <w:pPr>
              <w:spacing w:before="120" w:after="120"/>
              <w:jc w:val="both"/>
              <w:rPr>
                <w:rFonts w:cstheme="minorHAnsi"/>
                <w:color w:val="1F3864" w:themeColor="accent1" w:themeShade="80"/>
                <w:sz w:val="20"/>
                <w:szCs w:val="20"/>
              </w:rPr>
            </w:pPr>
          </w:p>
          <w:p w14:paraId="4F7B202C" w14:textId="77777777" w:rsidR="00C123B4" w:rsidRPr="00CB1C35" w:rsidRDefault="00FA56AA">
            <w:pPr>
              <w:spacing w:before="120" w:after="120"/>
              <w:jc w:val="both"/>
              <w:rPr>
                <w:rFonts w:cstheme="minorHAnsi"/>
                <w:b/>
                <w:bCs/>
                <w:color w:val="1F3864" w:themeColor="accent1" w:themeShade="80"/>
                <w:sz w:val="20"/>
                <w:szCs w:val="20"/>
              </w:rPr>
            </w:pPr>
            <w:r w:rsidRPr="00CB1C35">
              <w:rPr>
                <w:rFonts w:cstheme="minorHAnsi"/>
                <w:b/>
                <w:bCs/>
                <w:color w:val="1F3864" w:themeColor="accent1" w:themeShade="80"/>
                <w:sz w:val="20"/>
                <w:szCs w:val="20"/>
              </w:rPr>
              <w:t>Kartenrezeption:</w:t>
            </w:r>
          </w:p>
          <w:p w14:paraId="418E0FA7" w14:textId="77777777" w:rsidR="00C123B4" w:rsidRPr="00CB1C35" w:rsidRDefault="00FA56AA" w:rsidP="0081452A">
            <w:pPr>
              <w:pStyle w:val="Listenabsatz"/>
              <w:numPr>
                <w:ilvl w:val="0"/>
                <w:numId w:val="17"/>
              </w:numPr>
              <w:spacing w:before="120" w:after="120"/>
              <w:jc w:val="both"/>
              <w:rPr>
                <w:rFonts w:asciiTheme="minorHAnsi" w:hAnsiTheme="minorHAnsi" w:cstheme="minorHAnsi"/>
                <w:color w:val="1F3864" w:themeColor="accent1" w:themeShade="80"/>
                <w:sz w:val="20"/>
                <w:szCs w:val="20"/>
              </w:rPr>
            </w:pPr>
            <w:r w:rsidRPr="00CB1C35">
              <w:rPr>
                <w:rFonts w:asciiTheme="minorHAnsi" w:hAnsiTheme="minorHAnsi" w:cstheme="minorHAnsi"/>
                <w:color w:val="1F3864" w:themeColor="accent1" w:themeShade="80"/>
                <w:sz w:val="20"/>
                <w:szCs w:val="20"/>
              </w:rPr>
              <w:t>Die Schüler*innen können wesentliche Elemente der verschiedenen Karten lesen, benennen und die Funktionen erläutern.</w:t>
            </w:r>
          </w:p>
          <w:p w14:paraId="01FB4114" w14:textId="77777777" w:rsidR="00C123B4" w:rsidRPr="00CB1C35" w:rsidRDefault="00FA56AA" w:rsidP="0081452A">
            <w:pPr>
              <w:pStyle w:val="Listenabsatz"/>
              <w:numPr>
                <w:ilvl w:val="0"/>
                <w:numId w:val="17"/>
              </w:numPr>
              <w:spacing w:before="120" w:after="120"/>
              <w:jc w:val="both"/>
              <w:rPr>
                <w:rFonts w:asciiTheme="minorHAnsi" w:hAnsiTheme="minorHAnsi" w:cstheme="minorHAnsi"/>
                <w:b/>
                <w:bCs/>
                <w:color w:val="1F3864" w:themeColor="accent1" w:themeShade="80"/>
                <w:sz w:val="20"/>
                <w:szCs w:val="20"/>
              </w:rPr>
            </w:pPr>
            <w:r w:rsidRPr="00CB1C35">
              <w:rPr>
                <w:rFonts w:asciiTheme="minorHAnsi" w:hAnsiTheme="minorHAnsi" w:cstheme="minorHAnsi"/>
                <w:color w:val="1F3864" w:themeColor="accent1" w:themeShade="80"/>
                <w:sz w:val="20"/>
                <w:szCs w:val="20"/>
              </w:rPr>
              <w:t xml:space="preserve">Die Schüler*innen können Karten zu Wohnraum, Bildungseinrichtungen und Freizeitmöglichkeiten lesen und auswerten, um regionale Unterschiede </w:t>
            </w:r>
            <w:r w:rsidR="0081452A" w:rsidRPr="00CB1C35">
              <w:rPr>
                <w:rFonts w:asciiTheme="minorHAnsi" w:hAnsiTheme="minorHAnsi" w:cstheme="minorHAnsi"/>
                <w:color w:val="1F3864" w:themeColor="accent1" w:themeShade="80"/>
                <w:sz w:val="20"/>
                <w:szCs w:val="20"/>
              </w:rPr>
              <w:t xml:space="preserve">der Familienfreundlichkeit </w:t>
            </w:r>
            <w:r w:rsidRPr="00CB1C35">
              <w:rPr>
                <w:rFonts w:asciiTheme="minorHAnsi" w:hAnsiTheme="minorHAnsi" w:cstheme="minorHAnsi"/>
                <w:color w:val="1F3864" w:themeColor="accent1" w:themeShade="80"/>
                <w:sz w:val="20"/>
                <w:szCs w:val="20"/>
              </w:rPr>
              <w:t>zu beurteilen.</w:t>
            </w:r>
          </w:p>
          <w:p w14:paraId="1EFC53B7" w14:textId="571E3775" w:rsidR="0081452A" w:rsidRPr="00CB1C35" w:rsidRDefault="005C188A" w:rsidP="0081452A">
            <w:pPr>
              <w:pStyle w:val="Listenabsatz"/>
              <w:numPr>
                <w:ilvl w:val="0"/>
                <w:numId w:val="17"/>
              </w:numPr>
              <w:spacing w:before="120" w:after="120"/>
              <w:jc w:val="both"/>
              <w:rPr>
                <w:rFonts w:asciiTheme="minorHAnsi" w:hAnsiTheme="minorHAnsi" w:cstheme="minorHAnsi"/>
                <w:b/>
                <w:bCs/>
                <w:color w:val="1F3864" w:themeColor="accent1" w:themeShade="80"/>
                <w:sz w:val="20"/>
                <w:szCs w:val="20"/>
              </w:rPr>
            </w:pPr>
            <w:r>
              <w:rPr>
                <w:rFonts w:ascii="Wingdings" w:eastAsia="Wingdings" w:hAnsi="Wingdings" w:cs="Wingdings"/>
                <w:color w:val="002060"/>
                <w:sz w:val="20"/>
                <w:szCs w:val="21"/>
              </w:rPr>
              <w:t></w:t>
            </w:r>
            <w:r w:rsidR="00FA56AA" w:rsidRPr="00CB1C35">
              <w:rPr>
                <w:rFonts w:asciiTheme="minorHAnsi" w:hAnsiTheme="minorHAnsi" w:cstheme="minorHAnsi"/>
                <w:color w:val="002060"/>
                <w:sz w:val="20"/>
                <w:szCs w:val="20"/>
              </w:rPr>
              <w:t xml:space="preserve"> </w:t>
            </w:r>
          </w:p>
          <w:p w14:paraId="512456D8" w14:textId="77777777" w:rsidR="00C123B4" w:rsidRPr="00CB1C35" w:rsidRDefault="00FA56AA" w:rsidP="0081452A">
            <w:pPr>
              <w:spacing w:before="120" w:after="120"/>
              <w:jc w:val="both"/>
              <w:rPr>
                <w:rFonts w:cstheme="minorHAnsi"/>
                <w:b/>
                <w:bCs/>
                <w:color w:val="1F3864" w:themeColor="accent1" w:themeShade="80"/>
                <w:sz w:val="20"/>
                <w:szCs w:val="20"/>
              </w:rPr>
            </w:pPr>
            <w:r w:rsidRPr="00CB1C35">
              <w:rPr>
                <w:rFonts w:cstheme="minorHAnsi"/>
                <w:b/>
                <w:bCs/>
                <w:color w:val="1F3864" w:themeColor="accent1" w:themeShade="80"/>
                <w:sz w:val="20"/>
                <w:szCs w:val="20"/>
              </w:rPr>
              <w:t>Kartenanalyse:</w:t>
            </w:r>
          </w:p>
          <w:p w14:paraId="7A247242" w14:textId="77777777" w:rsidR="0081452A" w:rsidRPr="00CB1C35" w:rsidRDefault="0081452A" w:rsidP="0081452A">
            <w:pPr>
              <w:pStyle w:val="Listenabsatz"/>
              <w:numPr>
                <w:ilvl w:val="0"/>
                <w:numId w:val="17"/>
              </w:numPr>
              <w:spacing w:before="120" w:after="120"/>
              <w:jc w:val="both"/>
              <w:rPr>
                <w:rFonts w:asciiTheme="minorHAnsi" w:hAnsiTheme="minorHAnsi" w:cstheme="minorHAnsi"/>
                <w:bCs/>
                <w:color w:val="1F3864" w:themeColor="accent1" w:themeShade="80"/>
                <w:sz w:val="20"/>
                <w:szCs w:val="20"/>
              </w:rPr>
            </w:pPr>
            <w:r w:rsidRPr="00CB1C35">
              <w:rPr>
                <w:rFonts w:asciiTheme="minorHAnsi" w:hAnsiTheme="minorHAnsi" w:cstheme="minorHAnsi"/>
                <w:bCs/>
                <w:color w:val="1F3864" w:themeColor="accent1" w:themeShade="80"/>
                <w:sz w:val="20"/>
                <w:szCs w:val="20"/>
              </w:rPr>
              <w:t>Sie Schüler*innen können eigene Indikatoren entwickeln, um Familienfreundlichkeit anhand von Karten zu untersuchen</w:t>
            </w:r>
          </w:p>
          <w:p w14:paraId="63404D5A" w14:textId="77777777" w:rsidR="0081452A" w:rsidRPr="00CB1C35" w:rsidRDefault="0081452A" w:rsidP="0081452A">
            <w:pPr>
              <w:pStyle w:val="Listenabsatz"/>
              <w:numPr>
                <w:ilvl w:val="0"/>
                <w:numId w:val="17"/>
              </w:numPr>
              <w:spacing w:before="120" w:after="120"/>
              <w:jc w:val="both"/>
              <w:rPr>
                <w:rFonts w:asciiTheme="minorHAnsi" w:hAnsiTheme="minorHAnsi" w:cstheme="minorHAnsi"/>
                <w:color w:val="1F3864" w:themeColor="accent1" w:themeShade="80"/>
                <w:sz w:val="20"/>
                <w:szCs w:val="20"/>
              </w:rPr>
            </w:pPr>
            <w:r w:rsidRPr="00CB1C35">
              <w:rPr>
                <w:rFonts w:asciiTheme="minorHAnsi" w:hAnsiTheme="minorHAnsi" w:cstheme="minorHAnsi"/>
                <w:color w:val="1F3864" w:themeColor="accent1" w:themeShade="80"/>
                <w:sz w:val="20"/>
                <w:szCs w:val="20"/>
              </w:rPr>
              <w:t>Die Schüler*innen bewerten anhand der Karten die Familienfreundlichkeit der vorgegebenen Standorte.</w:t>
            </w:r>
          </w:p>
          <w:p w14:paraId="34E46DCE" w14:textId="77777777" w:rsidR="0081452A" w:rsidRPr="00CB1C35" w:rsidRDefault="0081452A" w:rsidP="0081452A">
            <w:pPr>
              <w:pStyle w:val="Listenabsatz"/>
              <w:numPr>
                <w:ilvl w:val="0"/>
                <w:numId w:val="17"/>
              </w:numPr>
              <w:spacing w:before="120" w:after="120"/>
              <w:jc w:val="both"/>
              <w:rPr>
                <w:rFonts w:asciiTheme="minorHAnsi" w:hAnsiTheme="minorHAnsi" w:cstheme="minorHAnsi"/>
                <w:color w:val="1F3864" w:themeColor="accent1" w:themeShade="80"/>
                <w:sz w:val="20"/>
                <w:szCs w:val="20"/>
              </w:rPr>
            </w:pPr>
            <w:r w:rsidRPr="00CB1C35">
              <w:rPr>
                <w:rFonts w:asciiTheme="minorHAnsi" w:hAnsiTheme="minorHAnsi" w:cstheme="minorHAnsi"/>
                <w:color w:val="1F3864" w:themeColor="accent1" w:themeShade="80"/>
                <w:sz w:val="20"/>
                <w:szCs w:val="20"/>
              </w:rPr>
              <w:t>Die Schüler*innen argumentieren anhand kartenbasierter Erkenntnisse, welche Regionen das familienfreundliche Leben am besten erfüllen.</w:t>
            </w:r>
          </w:p>
          <w:p w14:paraId="3A555832" w14:textId="77777777" w:rsidR="00C123B4" w:rsidRPr="00CB1C35" w:rsidRDefault="00FA56AA">
            <w:pPr>
              <w:spacing w:before="120" w:after="120"/>
              <w:jc w:val="both"/>
              <w:rPr>
                <w:rFonts w:cstheme="minorHAnsi"/>
                <w:b/>
                <w:bCs/>
                <w:color w:val="1F3864" w:themeColor="accent1" w:themeShade="80"/>
                <w:sz w:val="20"/>
                <w:szCs w:val="20"/>
              </w:rPr>
            </w:pPr>
            <w:r w:rsidRPr="00CB1C35">
              <w:rPr>
                <w:rFonts w:cstheme="minorHAnsi"/>
                <w:b/>
                <w:bCs/>
                <w:color w:val="1F3864" w:themeColor="accent1" w:themeShade="80"/>
                <w:sz w:val="20"/>
                <w:szCs w:val="20"/>
              </w:rPr>
              <w:t>Kartenreflexion:</w:t>
            </w:r>
          </w:p>
          <w:p w14:paraId="77254044" w14:textId="77777777" w:rsidR="0081452A" w:rsidRPr="00CB1C35" w:rsidRDefault="0081452A" w:rsidP="0081452A">
            <w:pPr>
              <w:pStyle w:val="Listenabsatz"/>
              <w:numPr>
                <w:ilvl w:val="0"/>
                <w:numId w:val="17"/>
              </w:numPr>
              <w:spacing w:before="120" w:after="120"/>
              <w:jc w:val="both"/>
              <w:rPr>
                <w:rFonts w:asciiTheme="minorHAnsi" w:hAnsiTheme="minorHAnsi" w:cstheme="minorHAnsi"/>
                <w:color w:val="1F3864" w:themeColor="accent1" w:themeShade="80"/>
                <w:sz w:val="20"/>
                <w:szCs w:val="20"/>
              </w:rPr>
            </w:pPr>
            <w:r w:rsidRPr="00CB1C35">
              <w:rPr>
                <w:rFonts w:asciiTheme="minorHAnsi" w:hAnsiTheme="minorHAnsi" w:cstheme="minorHAnsi"/>
                <w:color w:val="1F3864" w:themeColor="accent1" w:themeShade="80"/>
                <w:sz w:val="20"/>
                <w:szCs w:val="20"/>
              </w:rPr>
              <w:t xml:space="preserve">Die Schüler*innen reflektieren, inwiefern die Karten ein vollständiges Bild der Familienfreundlichkeit zeigen. </w:t>
            </w:r>
          </w:p>
          <w:p w14:paraId="6B1F6331" w14:textId="77777777" w:rsidR="00C123B4" w:rsidRPr="00CB1C35" w:rsidRDefault="00C123B4" w:rsidP="008F23F7">
            <w:pPr>
              <w:pStyle w:val="Listenabsatz"/>
              <w:spacing w:before="120" w:after="120"/>
              <w:jc w:val="both"/>
              <w:rPr>
                <w:rFonts w:asciiTheme="minorHAnsi" w:hAnsiTheme="minorHAnsi" w:cstheme="minorHAnsi"/>
                <w:color w:val="1F3864" w:themeColor="accent1" w:themeShade="80"/>
                <w:sz w:val="20"/>
                <w:szCs w:val="20"/>
              </w:rPr>
            </w:pPr>
          </w:p>
        </w:tc>
      </w:tr>
      <w:tr w:rsidR="00C123B4" w14:paraId="3D65B4A6" w14:textId="77777777" w:rsidTr="00F449B5">
        <w:tc>
          <w:tcPr>
            <w:tcW w:w="2170" w:type="dxa"/>
            <w:gridSpan w:val="2"/>
            <w:vAlign w:val="center"/>
          </w:tcPr>
          <w:p w14:paraId="191D17AB" w14:textId="77777777" w:rsidR="00C123B4" w:rsidRDefault="00C123B4">
            <w:pPr>
              <w:jc w:val="both"/>
              <w:rPr>
                <w:rFonts w:cs="Arial"/>
                <w:sz w:val="20"/>
                <w:szCs w:val="20"/>
              </w:rPr>
            </w:pPr>
          </w:p>
        </w:tc>
        <w:tc>
          <w:tcPr>
            <w:tcW w:w="3394" w:type="dxa"/>
            <w:vAlign w:val="center"/>
          </w:tcPr>
          <w:p w14:paraId="0C21C84D" w14:textId="77777777" w:rsidR="00C123B4" w:rsidRDefault="00C123B4">
            <w:pPr>
              <w:jc w:val="both"/>
              <w:rPr>
                <w:rFonts w:cs="Arial"/>
                <w:sz w:val="20"/>
                <w:szCs w:val="20"/>
              </w:rPr>
            </w:pPr>
          </w:p>
        </w:tc>
        <w:tc>
          <w:tcPr>
            <w:tcW w:w="5209" w:type="dxa"/>
            <w:gridSpan w:val="3"/>
            <w:vAlign w:val="center"/>
          </w:tcPr>
          <w:p w14:paraId="070DF467" w14:textId="77777777" w:rsidR="00C123B4" w:rsidRDefault="00C123B4">
            <w:pPr>
              <w:jc w:val="both"/>
              <w:rPr>
                <w:rFonts w:cs="Arial"/>
                <w:sz w:val="20"/>
                <w:szCs w:val="20"/>
              </w:rPr>
            </w:pPr>
          </w:p>
        </w:tc>
      </w:tr>
      <w:tr w:rsidR="00C123B4" w:rsidRPr="00D119CE" w14:paraId="28760F56" w14:textId="77777777" w:rsidTr="00F449B5">
        <w:tc>
          <w:tcPr>
            <w:tcW w:w="10773" w:type="dxa"/>
            <w:gridSpan w:val="6"/>
            <w:vAlign w:val="center"/>
          </w:tcPr>
          <w:p w14:paraId="3B9572E8" w14:textId="77777777" w:rsidR="00D119CE" w:rsidRPr="005C188A" w:rsidRDefault="00D119CE">
            <w:pPr>
              <w:spacing w:after="120"/>
              <w:jc w:val="both"/>
              <w:rPr>
                <w:rFonts w:cs="Arial"/>
                <w:b/>
                <w:bCs/>
              </w:rPr>
            </w:pPr>
          </w:p>
          <w:p w14:paraId="01D0205C" w14:textId="24ED384C" w:rsidR="00C123B4" w:rsidRPr="00D119CE" w:rsidRDefault="00FA56AA">
            <w:pPr>
              <w:spacing w:after="120"/>
              <w:jc w:val="both"/>
              <w:rPr>
                <w:rFonts w:cs="Arial"/>
                <w:b/>
                <w:bCs/>
              </w:rPr>
            </w:pPr>
            <w:r w:rsidRPr="00D119CE">
              <w:rPr>
                <w:rFonts w:cs="Arial"/>
                <w:b/>
                <w:bCs/>
              </w:rPr>
              <w:t>Fachliche Basisinformationen zum Unterrichtsthema:</w:t>
            </w:r>
          </w:p>
        </w:tc>
      </w:tr>
      <w:tr w:rsidR="00C123B4" w:rsidRPr="00D119CE" w14:paraId="28187F78" w14:textId="77777777" w:rsidTr="00F449B5">
        <w:tc>
          <w:tcPr>
            <w:tcW w:w="10773" w:type="dxa"/>
            <w:gridSpan w:val="6"/>
            <w:vAlign w:val="center"/>
          </w:tcPr>
          <w:p w14:paraId="2680995B" w14:textId="77777777" w:rsidR="00D119CE" w:rsidRPr="00D119CE" w:rsidRDefault="00D119CE">
            <w:pPr>
              <w:jc w:val="both"/>
              <w:rPr>
                <w:rFonts w:cstheme="minorHAnsi"/>
                <w:sz w:val="12"/>
                <w:szCs w:val="12"/>
              </w:rPr>
            </w:pPr>
          </w:p>
          <w:p w14:paraId="54372CA3" w14:textId="3C265B12" w:rsidR="00C123B4" w:rsidRPr="00D119CE" w:rsidRDefault="00FA56AA">
            <w:pPr>
              <w:jc w:val="both"/>
              <w:rPr>
                <w:rFonts w:cstheme="minorHAnsi"/>
              </w:rPr>
            </w:pPr>
            <w:r w:rsidRPr="00D119CE">
              <w:rPr>
                <w:rFonts w:cstheme="minorHAnsi"/>
              </w:rPr>
              <w:t xml:space="preserve">Die Inhalte orientieren sich am Inhaltsfeld 5: „Stadtentwicklung und Stadtstrukturen“ des Kernlehrplans des Landes NRW. </w:t>
            </w:r>
          </w:p>
          <w:p w14:paraId="63B84440" w14:textId="77777777" w:rsidR="00C123B4" w:rsidRPr="00D119CE" w:rsidRDefault="00FA56AA">
            <w:pPr>
              <w:jc w:val="both"/>
              <w:rPr>
                <w:rFonts w:cstheme="minorHAnsi"/>
              </w:rPr>
            </w:pPr>
            <w:r w:rsidRPr="00D119CE">
              <w:rPr>
                <w:rFonts w:cstheme="minorHAnsi"/>
              </w:rPr>
              <w:t xml:space="preserve">In der Unterrichtseinheit stehen die Analyse und Bewertung von städtischen und ländlichen Regionen im Mittelpunkt. Ziel ist es, die Funktionsweise und Bedeutung verschiedener geographischer Konzepte zu verstehen, die für die Lebensqualität und die Attraktivität eines Raumes ausschlaggebend sind. Im Fokus stehen die Daseinsgrundfunktionen, die eine systematische Betrachtung der grundlegenden Bedürfnisse des Menschen ermöglichen. Dazu zählen Wohnen, Arbeiten, Bildung, Mobilität, Versorgung und Freizeit. Diese Funktionen dienen als methodische Grundlage, um die Qualität und Eignung von Lebensräumen differenziert zu bewerten. </w:t>
            </w:r>
          </w:p>
          <w:p w14:paraId="2F1F3FB1" w14:textId="77777777" w:rsidR="00C123B4" w:rsidRPr="00D119CE" w:rsidRDefault="00FA56AA">
            <w:pPr>
              <w:jc w:val="both"/>
              <w:rPr>
                <w:rFonts w:cstheme="minorHAnsi"/>
              </w:rPr>
            </w:pPr>
            <w:r w:rsidRPr="00D119CE">
              <w:rPr>
                <w:rFonts w:cstheme="minorHAnsi"/>
              </w:rPr>
              <w:t xml:space="preserve">Dabei wird untersucht, wie städtische, ländliche sowie vorstädtische Regionen diese Funktionen unterschiedlich erfüllen. Städte bieten eine bessere Infrastruktur und mehr Arbeitsmöglichkeiten, was die Attraktivität für viele Menschen erhöht, jedoch mit höheren Mieten und begrenztem Wohnraum einhergeht. Vorstädte bieten mehr Wohnraum und Grünflächen bei gleichzeitiger Nähe zur Stadt, sind aber oft vom Auto abhängig und benötigen eine gut ausgebaute Infrastruktur. Ländliche Gebiete bieten günstigeres Wohnen und mehr Platz, kämpfen jedoch mit einer schlechteren Infrastruktur und längeren Wegen zu wichtigen Einrichtungen. Die Bildung ist in städtischen Regionen durch eine höhere Dichte an Schulen und Universitäten besser erreichbar, während ländliche Gebiete oft längere Schulwege und weniger Angebote bieten. Freizeitmöglichkeiten sind in Städten häufig teuer aber leicht zugänglich, während ländliche Gebiete zwar Naturerlebnisse und Freiraum bieten, aber oft an Angeboten für junge Menschen mangeln. Die Daseinsgrundfunktionen verdeutlichen, wie eng diese Aspekte miteinander verbunden sind und wie Standortentscheidungen von der Balance dieser Faktoren abhängen, die in städtischen und ländlichen Regionen unterschiedlich gewichtet werden. Die Verteilung und Gewichtung dieser Funktionen variiert und hängt stark von den spezifischen Standortfaktoren ab, wodurch die Lebensbedingungen in beiden Raumtypen differenziert betrachtet werden können. </w:t>
            </w:r>
          </w:p>
          <w:p w14:paraId="5CDB271D" w14:textId="77777777" w:rsidR="0081452A" w:rsidRPr="00D119CE" w:rsidRDefault="0081452A" w:rsidP="0081452A">
            <w:pPr>
              <w:jc w:val="both"/>
              <w:rPr>
                <w:rFonts w:cstheme="minorHAnsi"/>
              </w:rPr>
            </w:pPr>
            <w:r w:rsidRPr="00D119CE">
              <w:rPr>
                <w:rFonts w:cstheme="minorHAnsi"/>
              </w:rPr>
              <w:t>Eine langfristige Verbesserung der Lebensqualität für Familien erfordert die gezielte Förderung von Wohnraum, Bildungsangeboten und Freizeitmöglichkeiten in beiden Regionen. Nur so können unterschiedliche Bedürfnisse berücksichtigt und nachhaltige Lebensräume geschaffen werden.</w:t>
            </w:r>
          </w:p>
          <w:p w14:paraId="5E787E1E" w14:textId="77777777" w:rsidR="0081452A" w:rsidRPr="00D119CE" w:rsidRDefault="0081452A">
            <w:pPr>
              <w:jc w:val="both"/>
              <w:rPr>
                <w:rFonts w:cstheme="minorHAnsi"/>
              </w:rPr>
            </w:pPr>
          </w:p>
          <w:p w14:paraId="4F8B2508" w14:textId="77777777" w:rsidR="00C123B4" w:rsidRPr="00D119CE" w:rsidRDefault="00C123B4" w:rsidP="0081452A">
            <w:pPr>
              <w:jc w:val="both"/>
              <w:rPr>
                <w:rFonts w:cstheme="minorHAnsi"/>
              </w:rPr>
            </w:pPr>
          </w:p>
        </w:tc>
      </w:tr>
      <w:tr w:rsidR="00C123B4" w:rsidRPr="00D119CE" w14:paraId="41069FE8" w14:textId="77777777" w:rsidTr="00F449B5">
        <w:tc>
          <w:tcPr>
            <w:tcW w:w="10773" w:type="dxa"/>
            <w:gridSpan w:val="6"/>
            <w:vAlign w:val="center"/>
          </w:tcPr>
          <w:p w14:paraId="4EDEF715" w14:textId="0B209790" w:rsidR="00C123B4" w:rsidRPr="00827705" w:rsidRDefault="00FA56AA" w:rsidP="00772549">
            <w:pPr>
              <w:jc w:val="both"/>
              <w:rPr>
                <w:rFonts w:cs="Arial"/>
                <w:b/>
                <w:bCs/>
              </w:rPr>
            </w:pPr>
            <w:r w:rsidRPr="00827705">
              <w:rPr>
                <w:rFonts w:cs="Arial"/>
                <w:b/>
                <w:bCs/>
              </w:rPr>
              <w:t>Literaturverzeichnis:</w:t>
            </w:r>
          </w:p>
          <w:p w14:paraId="7C633751" w14:textId="77777777" w:rsidR="00D119CE" w:rsidRPr="00827705" w:rsidRDefault="00D119CE" w:rsidP="00772549">
            <w:pPr>
              <w:jc w:val="both"/>
              <w:rPr>
                <w:rFonts w:cs="Arial"/>
                <w:b/>
                <w:bCs/>
              </w:rPr>
            </w:pPr>
          </w:p>
          <w:p w14:paraId="1608C299" w14:textId="42E66C28" w:rsidR="00900032" w:rsidRPr="00827705" w:rsidRDefault="00900032" w:rsidP="00827705">
            <w:pPr>
              <w:rPr>
                <w:rFonts w:cs="Arial"/>
                <w:color w:val="000000" w:themeColor="text1"/>
                <w:lang w:val="en-US"/>
              </w:rPr>
            </w:pPr>
            <w:r w:rsidRPr="00827705">
              <w:rPr>
                <w:rFonts w:cs="Arial"/>
              </w:rPr>
              <w:t xml:space="preserve">Ante, U. (Hrsg.) (2005): Landesplanung im Stadt-Umland-Bereich (Arbeitsmaterial, 318). </w:t>
            </w:r>
            <w:r w:rsidRPr="00827705">
              <w:rPr>
                <w:rFonts w:cs="Arial"/>
                <w:lang w:val="en-US"/>
              </w:rPr>
              <w:t xml:space="preserve">Hannover, in: </w:t>
            </w:r>
            <w:hyperlink r:id="rId7" w:tooltip="https://nbn-resolving.org/urn:nbn:de:0168-ssoar-285101" w:history="1">
              <w:r w:rsidRPr="00827705">
                <w:rPr>
                  <w:rStyle w:val="Hyperlink"/>
                  <w:rFonts w:cs="Arial"/>
                  <w:color w:val="000000" w:themeColor="text1"/>
                  <w:u w:val="none"/>
                  <w:lang w:val="en-US"/>
                </w:rPr>
                <w:t>https://nbn-resolving.org/urn:nbn:de:0168-ssoar-285101</w:t>
              </w:r>
            </w:hyperlink>
            <w:r w:rsidRPr="00827705">
              <w:rPr>
                <w:rFonts w:cs="Arial"/>
                <w:color w:val="000000" w:themeColor="text1"/>
                <w:lang w:val="en-US"/>
              </w:rPr>
              <w:t xml:space="preserve">. </w:t>
            </w:r>
          </w:p>
          <w:p w14:paraId="1CD00D68" w14:textId="77777777" w:rsidR="00007408" w:rsidRPr="00827705" w:rsidRDefault="00007408" w:rsidP="00827705">
            <w:pPr>
              <w:rPr>
                <w:rFonts w:cs="Arial"/>
                <w:color w:val="000000" w:themeColor="text1"/>
                <w:lang w:val="en-US"/>
              </w:rPr>
            </w:pPr>
          </w:p>
          <w:p w14:paraId="691E2984" w14:textId="749EFE35" w:rsidR="00900032" w:rsidRPr="00827705" w:rsidRDefault="00900032" w:rsidP="00827705">
            <w:pPr>
              <w:rPr>
                <w:rFonts w:cs="Arial"/>
                <w:color w:val="000000" w:themeColor="text1"/>
              </w:rPr>
            </w:pPr>
            <w:r w:rsidRPr="00827705">
              <w:rPr>
                <w:rFonts w:cs="Arial"/>
                <w:color w:val="000000" w:themeColor="text1"/>
              </w:rPr>
              <w:t>Bundesministerium für Familie, Senioren, Frauen und Jugend (2023): Was heißt hier familienfreundlich? Vorstellungen und Erwartungen von (potenziellen) Eltern, Ausgabe 45.</w:t>
            </w:r>
          </w:p>
          <w:p w14:paraId="128B36A3" w14:textId="77777777" w:rsidR="00007408" w:rsidRPr="00827705" w:rsidRDefault="00007408" w:rsidP="00827705">
            <w:pPr>
              <w:rPr>
                <w:rFonts w:cs="Arial"/>
                <w:color w:val="000000" w:themeColor="text1"/>
              </w:rPr>
            </w:pPr>
          </w:p>
          <w:p w14:paraId="452BA729" w14:textId="19DA1A25" w:rsidR="00900032" w:rsidRPr="00827705" w:rsidRDefault="00900032" w:rsidP="00827705">
            <w:pPr>
              <w:rPr>
                <w:rFonts w:cs="Arial"/>
                <w:color w:val="000000" w:themeColor="text1"/>
              </w:rPr>
            </w:pPr>
            <w:r w:rsidRPr="00827705">
              <w:rPr>
                <w:rFonts w:cs="Arial"/>
                <w:color w:val="000000" w:themeColor="text1"/>
              </w:rPr>
              <w:t>Dirk Assmann (2023): Unterschiede zwischen Stadt und Land, online in:</w:t>
            </w:r>
            <w:r w:rsidR="00292AB3" w:rsidRPr="00827705">
              <w:rPr>
                <w:rFonts w:cs="Arial"/>
                <w:color w:val="000000" w:themeColor="text1"/>
              </w:rPr>
              <w:t xml:space="preserve"> </w:t>
            </w:r>
            <w:r w:rsidRPr="00827705">
              <w:rPr>
                <w:rFonts w:cs="Arial"/>
                <w:color w:val="000000" w:themeColor="text1"/>
              </w:rPr>
              <w:t>https://www.freiheit.org/de/deutschland/unterschiede-zwischen-stadt-und-land? Stand: 16.03.2023, Abruf: 27.01.2025.</w:t>
            </w:r>
          </w:p>
          <w:p w14:paraId="1958EBF1" w14:textId="77777777" w:rsidR="00007408" w:rsidRPr="00827705" w:rsidRDefault="00007408" w:rsidP="00827705">
            <w:pPr>
              <w:rPr>
                <w:rFonts w:cs="Arial"/>
                <w:color w:val="000000" w:themeColor="text1"/>
              </w:rPr>
            </w:pPr>
          </w:p>
          <w:p w14:paraId="36B8B38D" w14:textId="036046A9" w:rsidR="00900032" w:rsidRPr="00827705" w:rsidRDefault="00900032" w:rsidP="00827705">
            <w:pPr>
              <w:rPr>
                <w:rStyle w:val="Hyperlink"/>
                <w:rFonts w:cs="Arial"/>
                <w:color w:val="000000" w:themeColor="text1"/>
                <w:u w:val="none"/>
              </w:rPr>
            </w:pPr>
            <w:r w:rsidRPr="00827705">
              <w:rPr>
                <w:rFonts w:cs="Arial"/>
                <w:color w:val="000000" w:themeColor="text1"/>
              </w:rPr>
              <w:t xml:space="preserve">Heller, Anne; Ewert, Stefan (2021): Bildung in ländlichen Räumen und die Rolle der Lehrerbildung, in: </w:t>
            </w:r>
            <w:hyperlink r:id="rId8" w:tooltip="https://www.bpb.de/themen/stadt-land/laendliche-raeume/335923/bildung-in-laendlichen-raeumen-und-die-rolle-der-lehrerbildung/" w:history="1">
              <w:r w:rsidRPr="00827705">
                <w:rPr>
                  <w:rStyle w:val="Hyperlink"/>
                  <w:rFonts w:cs="Arial"/>
                  <w:color w:val="000000" w:themeColor="text1"/>
                  <w:u w:val="none"/>
                </w:rPr>
                <w:t>https://www.bpb.de/themen/stadt-land/laendliche-raeume/335923/bildung-in-laendlichen-raeumen-und-die-rolle-der-lehrerbildung/</w:t>
              </w:r>
            </w:hyperlink>
          </w:p>
          <w:p w14:paraId="1F837E2A" w14:textId="77777777" w:rsidR="00007408" w:rsidRPr="00827705" w:rsidRDefault="00007408" w:rsidP="00827705">
            <w:pPr>
              <w:rPr>
                <w:rFonts w:cs="Arial"/>
                <w:color w:val="000000" w:themeColor="text1"/>
              </w:rPr>
            </w:pPr>
          </w:p>
          <w:p w14:paraId="66CCF206" w14:textId="3CF5D6E3" w:rsidR="00900032" w:rsidRPr="00827705" w:rsidRDefault="00900032" w:rsidP="00827705">
            <w:pPr>
              <w:rPr>
                <w:rFonts w:cs="Arial"/>
                <w:color w:val="000000" w:themeColor="text1"/>
              </w:rPr>
            </w:pPr>
            <w:r w:rsidRPr="00827705">
              <w:rPr>
                <w:rFonts w:cs="Arial"/>
                <w:color w:val="000000" w:themeColor="text1"/>
              </w:rPr>
              <w:t xml:space="preserve">Ministerium </w:t>
            </w:r>
            <w:proofErr w:type="spellStart"/>
            <w:r w:rsidRPr="00827705">
              <w:rPr>
                <w:rFonts w:cs="Arial"/>
                <w:color w:val="000000" w:themeColor="text1"/>
              </w:rPr>
              <w:t>für</w:t>
            </w:r>
            <w:proofErr w:type="spellEnd"/>
            <w:r w:rsidRPr="00827705">
              <w:rPr>
                <w:rFonts w:cs="Arial"/>
                <w:color w:val="000000" w:themeColor="text1"/>
              </w:rPr>
              <w:t xml:space="preserve"> Schule und Weiterbildung des Landes Nordrhein-Westfalen (2014): Kernlehrplan für die Sekundarstufe II Gymnasium/Gesamtschule in Nordrhein-Westfalen, Heftnummer 4715.</w:t>
            </w:r>
          </w:p>
          <w:p w14:paraId="18D03D69" w14:textId="77777777" w:rsidR="00007408" w:rsidRPr="00827705" w:rsidRDefault="00007408" w:rsidP="00827705">
            <w:pPr>
              <w:rPr>
                <w:rFonts w:cs="Arial"/>
                <w:color w:val="000000" w:themeColor="text1"/>
              </w:rPr>
            </w:pPr>
          </w:p>
          <w:p w14:paraId="67F4C382" w14:textId="77777777" w:rsidR="00007408" w:rsidRPr="00827705" w:rsidRDefault="00900032" w:rsidP="00827705">
            <w:pPr>
              <w:rPr>
                <w:rFonts w:cs="Arial"/>
                <w:color w:val="000000" w:themeColor="text1"/>
              </w:rPr>
            </w:pPr>
            <w:r w:rsidRPr="00827705">
              <w:rPr>
                <w:rFonts w:cs="Arial"/>
                <w:color w:val="000000" w:themeColor="text1"/>
              </w:rPr>
              <w:t xml:space="preserve">Nussbaumer, G. (2018): Raum- &amp; Landschaftsentwicklung Grundzüge – Skript zur Vorlesung, in: </w:t>
            </w:r>
            <w:hyperlink r:id="rId9" w:tooltip="https://doi.org/10.3929/ethz-b-000292831" w:history="1">
              <w:r w:rsidRPr="00827705">
                <w:rPr>
                  <w:rStyle w:val="Hyperlink"/>
                  <w:rFonts w:cs="Arial"/>
                  <w:color w:val="000000" w:themeColor="text1"/>
                  <w:u w:val="none"/>
                </w:rPr>
                <w:t>https://doi.org/10.3929/ethz-b-000292831</w:t>
              </w:r>
            </w:hyperlink>
            <w:r w:rsidRPr="00827705">
              <w:rPr>
                <w:rFonts w:cs="Arial"/>
                <w:color w:val="000000" w:themeColor="text1"/>
              </w:rPr>
              <w:t>.</w:t>
            </w:r>
          </w:p>
          <w:p w14:paraId="29EE6FCA" w14:textId="77777777" w:rsidR="00B70F2C" w:rsidRPr="00827705" w:rsidRDefault="00B70F2C" w:rsidP="00827705">
            <w:pPr>
              <w:rPr>
                <w:rFonts w:cs="Arial"/>
                <w:color w:val="000000" w:themeColor="text1"/>
              </w:rPr>
            </w:pPr>
          </w:p>
          <w:p w14:paraId="126476D6" w14:textId="78532CE6" w:rsidR="00900032" w:rsidRPr="00827705" w:rsidRDefault="00900032" w:rsidP="00827705">
            <w:pPr>
              <w:rPr>
                <w:rFonts w:cs="Arial"/>
                <w:color w:val="000000" w:themeColor="text1"/>
              </w:rPr>
            </w:pPr>
            <w:r w:rsidRPr="00827705">
              <w:rPr>
                <w:rFonts w:cs="Arial"/>
                <w:color w:val="000000" w:themeColor="text1"/>
              </w:rPr>
              <w:t>Redepenning, M. (2019): Stadt und Land, in: Nell, W.; Weiland, M. (Hrsg.): Dorf. Ein interdisziplinäres Handbuch, Berlin, S.315-325</w:t>
            </w:r>
          </w:p>
          <w:p w14:paraId="1886B52E" w14:textId="77777777" w:rsidR="00007408" w:rsidRPr="00827705" w:rsidRDefault="00007408" w:rsidP="00827705">
            <w:pPr>
              <w:rPr>
                <w:rFonts w:cs="Arial"/>
                <w:color w:val="000000" w:themeColor="text1"/>
              </w:rPr>
            </w:pPr>
          </w:p>
          <w:p w14:paraId="332FBA86" w14:textId="02E1572B" w:rsidR="00900032" w:rsidRPr="00827705" w:rsidRDefault="00900032" w:rsidP="00827705">
            <w:pPr>
              <w:rPr>
                <w:rFonts w:cs="Arial"/>
                <w:color w:val="000000" w:themeColor="text1"/>
              </w:rPr>
            </w:pPr>
            <w:proofErr w:type="spellStart"/>
            <w:r w:rsidRPr="00827705">
              <w:rPr>
                <w:rFonts w:cs="Arial"/>
                <w:color w:val="000000" w:themeColor="text1"/>
              </w:rPr>
              <w:t>StudySmarter</w:t>
            </w:r>
            <w:proofErr w:type="spellEnd"/>
            <w:r w:rsidRPr="00827705">
              <w:rPr>
                <w:rFonts w:cs="Arial"/>
                <w:color w:val="000000" w:themeColor="text1"/>
              </w:rPr>
              <w:t xml:space="preserve"> (o.J.): Städtische Prozesse, online in: </w:t>
            </w:r>
            <w:hyperlink r:id="rId10" w:tooltip="https://www.studysmarter.de/schule/geographie/humangeographie/staedtische-prozesse/" w:history="1">
              <w:r w:rsidRPr="00827705">
                <w:rPr>
                  <w:rStyle w:val="Hyperlink"/>
                  <w:rFonts w:cs="Arial"/>
                  <w:color w:val="000000" w:themeColor="text1"/>
                  <w:u w:val="none"/>
                </w:rPr>
                <w:t>https://www.studysmarter.de/schule/geographie/humangeographie/staedtische-prozesse/</w:t>
              </w:r>
            </w:hyperlink>
            <w:r w:rsidRPr="00827705">
              <w:rPr>
                <w:rFonts w:cs="Arial"/>
                <w:color w:val="000000" w:themeColor="text1"/>
              </w:rPr>
              <w:t>, Abruf: 29.01.2025.</w:t>
            </w:r>
          </w:p>
          <w:p w14:paraId="19D9BB9B" w14:textId="77777777" w:rsidR="00007408" w:rsidRPr="00827705" w:rsidRDefault="00007408" w:rsidP="00827705">
            <w:pPr>
              <w:rPr>
                <w:rFonts w:cs="Arial"/>
                <w:color w:val="000000" w:themeColor="text1"/>
              </w:rPr>
            </w:pPr>
          </w:p>
          <w:p w14:paraId="491364CC" w14:textId="50FED884" w:rsidR="00900032" w:rsidRPr="00827705" w:rsidRDefault="00900032" w:rsidP="00827705">
            <w:pPr>
              <w:rPr>
                <w:rFonts w:cs="Arial"/>
                <w:color w:val="000000" w:themeColor="text1"/>
              </w:rPr>
            </w:pPr>
            <w:r w:rsidRPr="00827705">
              <w:rPr>
                <w:rFonts w:cs="Arial"/>
                <w:color w:val="000000" w:themeColor="text1"/>
              </w:rPr>
              <w:t xml:space="preserve">Universität Bamberg: Geographien von Familien und lebenslaufgerechtes Wohnen, in: </w:t>
            </w:r>
            <w:hyperlink r:id="rId11" w:tooltip="https://www.uni-bamberg.de/geo1/projekte-und-transfer/projekte/geographien-von-familien-und-lebenslaufgerechtes-wohnen/" w:history="1">
              <w:r w:rsidRPr="00827705">
                <w:rPr>
                  <w:rStyle w:val="Hyperlink"/>
                  <w:rFonts w:cs="Arial"/>
                  <w:color w:val="000000" w:themeColor="text1"/>
                  <w:u w:val="none"/>
                </w:rPr>
                <w:t>https://www.uni-bamberg.de/geo1/projekte-und-transfer/projekte/geographien-von-familien-und-lebenslaufgerechtes-wohnen/</w:t>
              </w:r>
            </w:hyperlink>
            <w:r w:rsidRPr="00827705">
              <w:rPr>
                <w:rFonts w:cs="Arial"/>
                <w:color w:val="000000" w:themeColor="text1"/>
              </w:rPr>
              <w:t>, Abruf: 03.01.2025.</w:t>
            </w:r>
          </w:p>
          <w:p w14:paraId="5BC51B11" w14:textId="77777777" w:rsidR="00007408" w:rsidRPr="00827705" w:rsidRDefault="00007408" w:rsidP="00827705">
            <w:pPr>
              <w:rPr>
                <w:rFonts w:cs="Arial"/>
                <w:color w:val="000000" w:themeColor="text1"/>
              </w:rPr>
            </w:pPr>
          </w:p>
          <w:p w14:paraId="080EAFD8" w14:textId="77777777" w:rsidR="00900032" w:rsidRPr="00827705" w:rsidRDefault="00900032" w:rsidP="00827705">
            <w:pPr>
              <w:rPr>
                <w:rFonts w:cs="Arial"/>
                <w:color w:val="000000" w:themeColor="text1"/>
              </w:rPr>
            </w:pPr>
            <w:r w:rsidRPr="00827705">
              <w:rPr>
                <w:rFonts w:cs="Arial"/>
                <w:color w:val="000000" w:themeColor="text1"/>
              </w:rPr>
              <w:t xml:space="preserve">Zehetner, Elisabeth; </w:t>
            </w:r>
            <w:proofErr w:type="spellStart"/>
            <w:r w:rsidRPr="00827705">
              <w:rPr>
                <w:rFonts w:cs="Arial"/>
                <w:color w:val="000000" w:themeColor="text1"/>
              </w:rPr>
              <w:t>Janschitz</w:t>
            </w:r>
            <w:proofErr w:type="spellEnd"/>
            <w:r w:rsidRPr="00827705">
              <w:rPr>
                <w:rFonts w:cs="Arial"/>
                <w:color w:val="000000" w:themeColor="text1"/>
              </w:rPr>
              <w:t>, Gerlinde; Fernandez, Karina (2021): Bildung zwischen Stadt und Land. Der Mythos Stadt-Land im Spiegel aktueller Forschungsbefunde, in Zeitschrift für Bildungsforschung (2022):12:165-177, Wiesbaden.</w:t>
            </w:r>
          </w:p>
          <w:p w14:paraId="2425BE03" w14:textId="77777777" w:rsidR="00772549" w:rsidRPr="00827705" w:rsidRDefault="00772549" w:rsidP="00772549">
            <w:pPr>
              <w:ind w:left="709" w:hanging="709"/>
              <w:jc w:val="both"/>
              <w:rPr>
                <w:rFonts w:cs="Arial"/>
                <w:color w:val="000000" w:themeColor="text1"/>
              </w:rPr>
            </w:pPr>
          </w:p>
          <w:p w14:paraId="624D9BEB" w14:textId="77777777" w:rsidR="00C123B4" w:rsidRPr="00827705" w:rsidRDefault="00C123B4" w:rsidP="00772549">
            <w:pPr>
              <w:jc w:val="both"/>
              <w:rPr>
                <w:rFonts w:cs="Arial"/>
              </w:rPr>
            </w:pPr>
          </w:p>
          <w:p w14:paraId="56637830" w14:textId="77777777" w:rsidR="00C123B4" w:rsidRPr="00827705" w:rsidRDefault="00FA56AA" w:rsidP="00772549">
            <w:pPr>
              <w:jc w:val="both"/>
              <w:rPr>
                <w:rFonts w:cs="Arial"/>
              </w:rPr>
            </w:pPr>
            <w:r w:rsidRPr="00827705">
              <w:rPr>
                <w:rFonts w:cs="Arial"/>
                <w:b/>
                <w:bCs/>
              </w:rPr>
              <w:t>Didaktische Einbindung der Karten in den Unterricht:</w:t>
            </w:r>
          </w:p>
        </w:tc>
      </w:tr>
      <w:tr w:rsidR="00C123B4" w:rsidRPr="00D119CE" w14:paraId="1D2E8D8B" w14:textId="77777777" w:rsidTr="00F449B5">
        <w:tc>
          <w:tcPr>
            <w:tcW w:w="10773" w:type="dxa"/>
            <w:gridSpan w:val="6"/>
            <w:vAlign w:val="center"/>
          </w:tcPr>
          <w:p w14:paraId="36315249" w14:textId="77777777" w:rsidR="00C123B4" w:rsidRPr="00D119CE" w:rsidRDefault="00C123B4">
            <w:pPr>
              <w:jc w:val="both"/>
              <w:rPr>
                <w:rFonts w:cs="Arial"/>
              </w:rPr>
            </w:pPr>
          </w:p>
        </w:tc>
      </w:tr>
      <w:tr w:rsidR="00C123B4" w:rsidRPr="00D119CE" w14:paraId="37B17EF2" w14:textId="77777777" w:rsidTr="00F449B5">
        <w:tc>
          <w:tcPr>
            <w:tcW w:w="2170" w:type="dxa"/>
            <w:gridSpan w:val="2"/>
            <w:vAlign w:val="center"/>
          </w:tcPr>
          <w:p w14:paraId="1DF8CADD" w14:textId="77777777" w:rsidR="00C123B4" w:rsidRPr="00D119CE" w:rsidRDefault="00FA56AA">
            <w:pPr>
              <w:jc w:val="both"/>
              <w:rPr>
                <w:rFonts w:cs="Arial"/>
                <w:b/>
                <w:bCs/>
              </w:rPr>
            </w:pPr>
            <w:bookmarkStart w:id="0" w:name="_Hlk184839727"/>
            <w:r w:rsidRPr="00D119CE">
              <w:rPr>
                <w:rFonts w:cs="Arial"/>
                <w:b/>
                <w:bCs/>
              </w:rPr>
              <w:t>Vorbereitung</w:t>
            </w:r>
          </w:p>
        </w:tc>
        <w:tc>
          <w:tcPr>
            <w:tcW w:w="8603" w:type="dxa"/>
            <w:gridSpan w:val="4"/>
            <w:vAlign w:val="center"/>
          </w:tcPr>
          <w:p w14:paraId="6C8B510E" w14:textId="77777777" w:rsidR="00C123B4" w:rsidRPr="00D119CE" w:rsidRDefault="00FA56AA">
            <w:pPr>
              <w:jc w:val="both"/>
              <w:rPr>
                <w:rFonts w:cs="Arial"/>
              </w:rPr>
            </w:pPr>
            <w:r w:rsidRPr="00D119CE">
              <w:rPr>
                <w:rFonts w:cstheme="minorHAnsi"/>
              </w:rPr>
              <w:t xml:space="preserve">Tablets oder Computer stehen zur Verfügung, um digitale Karten optimal zu nutzen. Der Klassenraum wird so gestaltet, dass eine reibungslose Gruppenarbeit möglich ist. Die Lehrkraft sorgt dafür, dass die digitalen Arbeitsblätter an den Tablets bearbeitet und beschriftet werden können. Zudem erstellt sie einen passenden Zeitplan für die Unterrichtsstunde, der an das Lernniveau und die Lerngeschwindigkeit der Klasse angepasst wird. Auch die Gruppengrößen können flexibel auf die Bedürfnisse der Klasse abgestimmt werden. Die Schüler*innen sollten grundlegendes Vorwissen zu den Daseinsgrundfunktionen sowie zur Methodik der kartenbasierten Analyse und Argumentation mitbringen. Falls notwendig, können diese Inhalte vorab in einer vorbereitenden Stunde oder durch gezielte Wiederholung kurz aufgefrischt werden. Ebenso </w:t>
            </w:r>
            <w:r w:rsidRPr="00D119CE">
              <w:rPr>
                <w:rFonts w:cs="Arial"/>
              </w:rPr>
              <w:t>ist wichtig, dass die Schüler*innen über Vorwissen zur Identifikation und Bewertung von Zielkonflikten verfügen. Gegebenenfalls sollte die Lehrkraft diese Inhalte vor der Stunde wiederholen oder vorbereitendes Material bereitstellen.</w:t>
            </w:r>
            <w:bookmarkEnd w:id="0"/>
          </w:p>
        </w:tc>
      </w:tr>
      <w:tr w:rsidR="00C123B4" w:rsidRPr="00D119CE" w14:paraId="6F9C6110" w14:textId="77777777" w:rsidTr="00F449B5">
        <w:trPr>
          <w:trHeight w:val="1557"/>
        </w:trPr>
        <w:tc>
          <w:tcPr>
            <w:tcW w:w="2170" w:type="dxa"/>
            <w:gridSpan w:val="2"/>
            <w:vAlign w:val="center"/>
          </w:tcPr>
          <w:p w14:paraId="2F5FE34E" w14:textId="77777777" w:rsidR="00C123B4" w:rsidRPr="00D119CE" w:rsidRDefault="00FA56AA">
            <w:pPr>
              <w:jc w:val="both"/>
              <w:rPr>
                <w:rFonts w:cs="Arial"/>
                <w:b/>
                <w:bCs/>
              </w:rPr>
            </w:pPr>
            <w:r w:rsidRPr="00D119CE">
              <w:rPr>
                <w:rFonts w:cs="Arial"/>
                <w:b/>
                <w:bCs/>
              </w:rPr>
              <w:t>Einstieg</w:t>
            </w:r>
          </w:p>
        </w:tc>
        <w:tc>
          <w:tcPr>
            <w:tcW w:w="8603" w:type="dxa"/>
            <w:gridSpan w:val="4"/>
            <w:vAlign w:val="center"/>
          </w:tcPr>
          <w:p w14:paraId="0C9FF591" w14:textId="3C248354" w:rsidR="00C123B4" w:rsidRPr="00D119CE" w:rsidRDefault="0081452A" w:rsidP="0081452A">
            <w:pPr>
              <w:jc w:val="both"/>
              <w:rPr>
                <w:rFonts w:cs="Arial"/>
              </w:rPr>
            </w:pPr>
            <w:r w:rsidRPr="00D119CE">
              <w:rPr>
                <w:rFonts w:cstheme="minorHAnsi"/>
              </w:rPr>
              <w:t>Im Einstieg wird die Leitfrage: „In welchen Orten in NRW sind die Voraussetzungen für ein familienfreundliches Leben am besten?“ Als ersten Denkanstoß erstellen die Schülerinnen eine Mind-Map (Aufgabe 1; M1), in der sie erste Ideen und Überlegungen festhalten.</w:t>
            </w:r>
          </w:p>
        </w:tc>
      </w:tr>
      <w:tr w:rsidR="00C123B4" w:rsidRPr="00D119CE" w14:paraId="61D0FE1A" w14:textId="77777777" w:rsidTr="00F449B5">
        <w:tc>
          <w:tcPr>
            <w:tcW w:w="2170" w:type="dxa"/>
            <w:gridSpan w:val="2"/>
            <w:vAlign w:val="center"/>
          </w:tcPr>
          <w:p w14:paraId="5D449527" w14:textId="77777777" w:rsidR="00C123B4" w:rsidRPr="00D119CE" w:rsidRDefault="00FA56AA">
            <w:pPr>
              <w:jc w:val="both"/>
              <w:rPr>
                <w:rFonts w:cs="Arial"/>
                <w:b/>
                <w:bCs/>
              </w:rPr>
            </w:pPr>
            <w:r w:rsidRPr="00D119CE">
              <w:rPr>
                <w:rFonts w:cs="Arial"/>
                <w:b/>
                <w:bCs/>
              </w:rPr>
              <w:t>Erarbeitungsphase</w:t>
            </w:r>
          </w:p>
        </w:tc>
        <w:tc>
          <w:tcPr>
            <w:tcW w:w="8603" w:type="dxa"/>
            <w:gridSpan w:val="4"/>
            <w:vAlign w:val="center"/>
          </w:tcPr>
          <w:p w14:paraId="2B1ADA34" w14:textId="5FCEEFFA" w:rsidR="008F23F7" w:rsidRPr="00D119CE" w:rsidRDefault="0081452A">
            <w:pPr>
              <w:jc w:val="both"/>
              <w:rPr>
                <w:rFonts w:cstheme="minorHAnsi"/>
              </w:rPr>
            </w:pPr>
            <w:r w:rsidRPr="00D119CE">
              <w:rPr>
                <w:rFonts w:cstheme="minorHAnsi"/>
              </w:rPr>
              <w:t xml:space="preserve">In der Erarbeitungsphase </w:t>
            </w:r>
            <w:r w:rsidR="008F23F7" w:rsidRPr="00D119CE">
              <w:rPr>
                <w:rFonts w:cstheme="minorHAnsi"/>
              </w:rPr>
              <w:t>analysieren</w:t>
            </w:r>
            <w:r w:rsidRPr="00D119CE">
              <w:rPr>
                <w:rFonts w:cstheme="minorHAnsi"/>
              </w:rPr>
              <w:t xml:space="preserve"> die Schüler*innen </w:t>
            </w:r>
            <w:r w:rsidR="008F23F7" w:rsidRPr="00D119CE">
              <w:rPr>
                <w:rFonts w:cstheme="minorHAnsi"/>
              </w:rPr>
              <w:t xml:space="preserve">die angegebenen Karten von </w:t>
            </w:r>
            <w:r w:rsidRPr="00D119CE">
              <w:rPr>
                <w:rFonts w:cstheme="minorHAnsi"/>
              </w:rPr>
              <w:t xml:space="preserve">NRW </w:t>
            </w:r>
            <w:r w:rsidR="008F23F7" w:rsidRPr="00D119CE">
              <w:rPr>
                <w:rFonts w:cstheme="minorHAnsi"/>
              </w:rPr>
              <w:t>und entwickeln</w:t>
            </w:r>
            <w:r w:rsidRPr="00D119CE">
              <w:rPr>
                <w:rFonts w:cstheme="minorHAnsi"/>
              </w:rPr>
              <w:t xml:space="preserve"> Indikatoren, welche einen Bezug zur Familienfreundlichkeit haben (Nähe zu Kinderbetreuung</w:t>
            </w:r>
            <w:r w:rsidR="008F23F7" w:rsidRPr="00D119CE">
              <w:rPr>
                <w:rFonts w:cstheme="minorHAnsi"/>
              </w:rPr>
              <w:t xml:space="preserve"> und Schulen</w:t>
            </w:r>
            <w:r w:rsidRPr="00D119CE">
              <w:rPr>
                <w:rFonts w:cstheme="minorHAnsi"/>
              </w:rPr>
              <w:t>, Wohnfläche, Wohnungsmiete etc.)</w:t>
            </w:r>
            <w:r w:rsidR="008F23F7" w:rsidRPr="00D119CE">
              <w:rPr>
                <w:rFonts w:cstheme="minorHAnsi"/>
              </w:rPr>
              <w:t xml:space="preserve">. Diese Indikatoren sollten dann im Unterrichtsgespräch gesichert werden. Im nächsten Schritt untersuchen die Schüler*innen NRW anhand der definierten Indikatoren. </w:t>
            </w:r>
          </w:p>
          <w:p w14:paraId="4031B8FC" w14:textId="36B7D612" w:rsidR="008F23F7" w:rsidRPr="00827705" w:rsidRDefault="008F23F7" w:rsidP="008F23F7">
            <w:pPr>
              <w:jc w:val="both"/>
              <w:rPr>
                <w:rFonts w:cstheme="minorHAnsi"/>
              </w:rPr>
            </w:pPr>
            <w:r w:rsidRPr="00D119CE">
              <w:rPr>
                <w:rFonts w:cstheme="minorHAnsi"/>
              </w:rPr>
              <w:t xml:space="preserve">Dies kann in Kleingruppen geschehen, so dass nicht alle Schüler*innen alle Aspekte untersuchen müssen. Ziel ist es, auf der Grundlage der Informationen, den Ort zu identifizieren, der als besonders familienfreundlich eingestuft werden kann. Die Tabelle M2 wird als Sicherung im Unterrichtsgespräch kontrolliert. Fehlende Informationen werden hinzugefügt. Dadurch können eventuelle Missverständnisse geklärt und fehlende Aspekte ergänzt werden, sodass die Grundlage für den nächsten Arbeitsschritt inhaltlich korrekt und vollständig ist. Die Schüler*innen entscheiden sich in ihren Gruppen für einen Standort und erarbeiten anschließend die Argumente, die sowohl die Vorteile als auch die möglichen Nachteile der jeweiligen Standorte reflektieren. Im abschließenden Schritt verfassen die Schüler*innen einen </w:t>
            </w:r>
            <w:r w:rsidRPr="00827705">
              <w:rPr>
                <w:rFonts w:cstheme="minorHAnsi"/>
              </w:rPr>
              <w:t xml:space="preserve">Argumentationstext, in dem sie die zentrale Fragestellung der Stunde beantworten. Dabei integrieren sie die zuvor erarbeiteten kartenbasierten Argumente sowie die in den </w:t>
            </w:r>
            <w:r w:rsidRPr="00827705">
              <w:rPr>
                <w:rFonts w:cstheme="minorHAnsi"/>
              </w:rPr>
              <w:lastRenderedPageBreak/>
              <w:t>Informationstexten enthaltenen Aspekte, um ihre Argumentation weiter zu stützen. Den Schüler*innen wird ein Schreibplan als zusätzliches Hilfsmaterial zur Verfügung gestellt, um sie beim Verfassen ihres Textes zu unterstützen.</w:t>
            </w:r>
          </w:p>
          <w:p w14:paraId="4E9268F2" w14:textId="77777777" w:rsidR="00C123B4" w:rsidRPr="00D119CE" w:rsidRDefault="00C123B4" w:rsidP="008F23F7">
            <w:pPr>
              <w:jc w:val="both"/>
              <w:rPr>
                <w:rFonts w:cs="Arial"/>
              </w:rPr>
            </w:pPr>
          </w:p>
        </w:tc>
      </w:tr>
      <w:tr w:rsidR="00C123B4" w:rsidRPr="00D119CE" w14:paraId="687B5546" w14:textId="77777777" w:rsidTr="00F449B5">
        <w:tc>
          <w:tcPr>
            <w:tcW w:w="2170" w:type="dxa"/>
            <w:gridSpan w:val="2"/>
            <w:vAlign w:val="center"/>
          </w:tcPr>
          <w:p w14:paraId="29B124C2" w14:textId="77777777" w:rsidR="00C123B4" w:rsidRPr="00D119CE" w:rsidRDefault="00FA56AA">
            <w:pPr>
              <w:jc w:val="both"/>
              <w:rPr>
                <w:rFonts w:cs="Arial"/>
                <w:b/>
                <w:bCs/>
              </w:rPr>
            </w:pPr>
            <w:r w:rsidRPr="00D119CE">
              <w:rPr>
                <w:rFonts w:cs="Arial"/>
                <w:b/>
                <w:bCs/>
              </w:rPr>
              <w:lastRenderedPageBreak/>
              <w:t>Sicherung</w:t>
            </w:r>
          </w:p>
        </w:tc>
        <w:tc>
          <w:tcPr>
            <w:tcW w:w="8603" w:type="dxa"/>
            <w:gridSpan w:val="4"/>
            <w:vAlign w:val="center"/>
          </w:tcPr>
          <w:p w14:paraId="0BDBDCE1" w14:textId="77777777" w:rsidR="00C123B4" w:rsidRPr="00D119CE" w:rsidRDefault="00FA56AA">
            <w:pPr>
              <w:jc w:val="both"/>
              <w:rPr>
                <w:rFonts w:cstheme="minorHAnsi"/>
              </w:rPr>
            </w:pPr>
            <w:r w:rsidRPr="00D119CE">
              <w:rPr>
                <w:rFonts w:cs="Arial"/>
              </w:rPr>
              <w:t xml:space="preserve"> </w:t>
            </w:r>
            <w:r w:rsidR="008F23F7" w:rsidRPr="00D119CE">
              <w:rPr>
                <w:rFonts w:cstheme="minorHAnsi"/>
              </w:rPr>
              <w:t>In der Sicherungsphase werden die Ergebnisse der Erarbeitungsphase zusammengeführt, kritisch reflektiert und gesichert. Die Lehrkraft leitet die Phase mit der zentralen Fragestellung ein:  In welchen Orten NRWs sind die Voraussetzungen für ein familienfreundliches Leben am besten? Anschließend stellen die Schüler*innen ihre in den Argumentationstexten begründeten Standortentscheidungen im Plenum vor. Dabei präsentieren sie die Ergebnisse ihrer Gruppenarbeiten, teilen ihre unterschiedlichen Perspektiven und beziehen sich gezielt auf die analysierten Karten. Um verschiedene Sichtweisen sichtbar zu machen, hören sich die Schüler*innen die</w:t>
            </w:r>
            <w:r w:rsidR="008F23F7" w:rsidRPr="00D119CE">
              <w:rPr>
                <w:rFonts w:cstheme="minorHAnsi"/>
                <w:i/>
                <w:iCs/>
              </w:rPr>
              <w:t xml:space="preserve"> </w:t>
            </w:r>
            <w:r w:rsidR="008F23F7" w:rsidRPr="00D119CE">
              <w:rPr>
                <w:rFonts w:cstheme="minorHAnsi"/>
              </w:rPr>
              <w:t xml:space="preserve">Argumentationstexte von Gruppen an, die sich entweder für denselben oder einen anderen Standort entschieden haben. So wird die Vielfalt der Argumente deutlich und es entsteht eine kontroverse Diskussion über die Vor- und Nachteile der einzelnen Standorte. Die Lehrkraft moderiert die Diskussion, hält zentrale Aspekte strukturiert an der Tafel oder auf einem digitalen Medium fest und unterstützt die Schüler*innen dabei, ihre Argumente weiterzuentwickeln. Ein wichtiger Erkenntnisgewinn dieser Phase ist, dass es keine allgemeingültige „richtige“ oder „falsche“ Entscheidung gibt. Vielmehr hängt die Wahl des optimalen Standorts von der individuellen Gewichtung der Bedürfnisse und Prioritäten der Familienmitglieder ab. </w:t>
            </w:r>
          </w:p>
          <w:p w14:paraId="2321F331" w14:textId="77777777" w:rsidR="00C123B4" w:rsidRPr="00D119CE" w:rsidRDefault="00C123B4">
            <w:pPr>
              <w:jc w:val="both"/>
              <w:rPr>
                <w:rFonts w:cs="Arial"/>
              </w:rPr>
            </w:pPr>
          </w:p>
        </w:tc>
      </w:tr>
      <w:tr w:rsidR="00C123B4" w:rsidRPr="00D119CE" w14:paraId="6B2FB8FE" w14:textId="77777777" w:rsidTr="00F449B5">
        <w:tc>
          <w:tcPr>
            <w:tcW w:w="2170" w:type="dxa"/>
            <w:gridSpan w:val="2"/>
            <w:vAlign w:val="center"/>
          </w:tcPr>
          <w:p w14:paraId="5E833A4A" w14:textId="337A887C" w:rsidR="00C123B4" w:rsidRPr="00D119CE" w:rsidRDefault="00FA56AA" w:rsidP="008E334B">
            <w:pPr>
              <w:rPr>
                <w:rFonts w:cs="Arial"/>
                <w:b/>
                <w:bCs/>
              </w:rPr>
            </w:pPr>
            <w:r w:rsidRPr="00D119CE">
              <w:rPr>
                <w:rFonts w:cs="Arial"/>
                <w:b/>
                <w:bCs/>
              </w:rPr>
              <w:t>Transfer und</w:t>
            </w:r>
            <w:r w:rsidR="008E334B">
              <w:rPr>
                <w:rFonts w:cs="Arial"/>
                <w:b/>
                <w:bCs/>
              </w:rPr>
              <w:br/>
            </w:r>
            <w:r w:rsidRPr="00D119CE">
              <w:rPr>
                <w:rFonts w:cs="Arial"/>
                <w:b/>
                <w:bCs/>
              </w:rPr>
              <w:t>Reflexion</w:t>
            </w:r>
          </w:p>
        </w:tc>
        <w:tc>
          <w:tcPr>
            <w:tcW w:w="8603" w:type="dxa"/>
            <w:gridSpan w:val="4"/>
            <w:vAlign w:val="center"/>
          </w:tcPr>
          <w:p w14:paraId="289EB26D" w14:textId="2C988B6A" w:rsidR="00C123B4" w:rsidRPr="00D119CE" w:rsidRDefault="008F23F7" w:rsidP="006A19CF">
            <w:pPr>
              <w:rPr>
                <w:rFonts w:cstheme="minorHAnsi"/>
              </w:rPr>
            </w:pPr>
            <w:r w:rsidRPr="00D119CE">
              <w:rPr>
                <w:rFonts w:cstheme="minorHAnsi"/>
              </w:rPr>
              <w:t>In der Transfer- und Reflexionsphase setzen sich die Schülerinnen intensiv mit Transfer- und Reflexionsfragen auseinander, die in der „Weitergedacht“-Aufgabe formuliert sind. Zu den zentralen Fragestellungen gehören etwa: Wie wichtig war die Arbeit mit den Karten, um die Familienfreundlichkeit beurteilen zu können? Was könnte getan werden, um Orte familienfreundlicher zu gestalten?</w:t>
            </w:r>
          </w:p>
        </w:tc>
      </w:tr>
    </w:tbl>
    <w:p w14:paraId="20D8C75C" w14:textId="459C4F66" w:rsidR="00C123B4" w:rsidRDefault="00C123B4" w:rsidP="006A19CF">
      <w:pPr>
        <w:jc w:val="both"/>
        <w:rPr>
          <w:rFonts w:cs="Arial"/>
        </w:rPr>
      </w:pPr>
    </w:p>
    <w:p w14:paraId="36B92925" w14:textId="77777777" w:rsidR="00827705" w:rsidRDefault="00827705" w:rsidP="00827705">
      <w:pPr>
        <w:pBdr>
          <w:bottom w:val="single" w:sz="12" w:space="1" w:color="auto"/>
        </w:pBdr>
        <w:rPr>
          <w:rFonts w:cs="Arial"/>
        </w:rPr>
      </w:pPr>
    </w:p>
    <w:p w14:paraId="786C4196" w14:textId="4851DE5F" w:rsidR="00827705" w:rsidRDefault="00827705" w:rsidP="00827705">
      <w:pPr>
        <w:rPr>
          <w:b/>
          <w:bCs/>
          <w:noProof/>
        </w:rPr>
      </w:pPr>
      <w:r>
        <w:rPr>
          <w:noProof/>
        </w:rPr>
        <w:drawing>
          <wp:anchor distT="0" distB="0" distL="114300" distR="114300" simplePos="0" relativeHeight="251659264" behindDoc="0" locked="0" layoutInCell="1" allowOverlap="1" wp14:anchorId="7961C46B" wp14:editId="66117F69">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Geben Sie uns ein Feedback zu diesem Unterrichtsmaterial!</w:t>
      </w:r>
    </w:p>
    <w:p w14:paraId="189ED43F" w14:textId="6C1D0CD4" w:rsidR="00827705" w:rsidRDefault="00827705" w:rsidP="00827705">
      <w:pPr>
        <w:jc w:val="both"/>
        <w:rPr>
          <w:rFonts w:cs="Arial"/>
        </w:rPr>
      </w:pPr>
      <w:hyperlink r:id="rId14" w:history="1">
        <w:r>
          <w:rPr>
            <w:rStyle w:val="Hyperlink"/>
            <w:sz w:val="20"/>
            <w:szCs w:val="20"/>
          </w:rPr>
          <w:t>https://online-befragungen.it.nrw.de/kf/?p1=4&amp;p2=1&amp;p3=2&amp;_init=true</w:t>
        </w:r>
      </w:hyperlink>
    </w:p>
    <w:sectPr w:rsidR="00827705" w:rsidSect="00CB1C35">
      <w:headerReference w:type="default" r:id="rId15"/>
      <w:footerReference w:type="default" r:id="rId16"/>
      <w:pgSz w:w="11906" w:h="16838"/>
      <w:pgMar w:top="284" w:right="567" w:bottom="1134" w:left="567" w:header="284"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5BD9" w14:textId="77777777" w:rsidR="000C3DFD" w:rsidRDefault="000C3DFD">
      <w:pPr>
        <w:spacing w:after="0" w:line="240" w:lineRule="auto"/>
      </w:pPr>
      <w:r>
        <w:separator/>
      </w:r>
    </w:p>
  </w:endnote>
  <w:endnote w:type="continuationSeparator" w:id="0">
    <w:p w14:paraId="463F6906" w14:textId="77777777" w:rsidR="000C3DFD" w:rsidRDefault="000C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632C" w14:textId="77777777" w:rsidR="00C123B4" w:rsidRDefault="00C123B4">
    <w:pPr>
      <w:pStyle w:val="Fuzeile"/>
      <w:pBdr>
        <w:bottom w:val="single" w:sz="6" w:space="1" w:color="000000"/>
      </w:pBdr>
      <w:rPr>
        <w:rFonts w:cs="Arial"/>
        <w:sz w:val="16"/>
        <w:szCs w:val="16"/>
      </w:rPr>
    </w:pPr>
  </w:p>
  <w:p w14:paraId="3D8B654D" w14:textId="77777777" w:rsidR="00C123B4" w:rsidRDefault="00FA56AA">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27BA1E68" w14:textId="0ECF8C01" w:rsidR="00C123B4" w:rsidRDefault="00FA56AA">
    <w:pPr>
      <w:pStyle w:val="Fuzeile"/>
    </w:pPr>
    <w:r>
      <w:rPr>
        <w:rFonts w:cs="Arial"/>
        <w:sz w:val="16"/>
        <w:szCs w:val="16"/>
      </w:rPr>
      <w:t>© Das Material unterliegt der CC BY-SA 4.0-Lizenz.</w:t>
    </w:r>
    <w:r w:rsidR="00CB1C35">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709B" w14:textId="77777777" w:rsidR="000C3DFD" w:rsidRDefault="000C3DFD">
      <w:pPr>
        <w:spacing w:after="0" w:line="240" w:lineRule="auto"/>
      </w:pPr>
      <w:r>
        <w:separator/>
      </w:r>
    </w:p>
  </w:footnote>
  <w:footnote w:type="continuationSeparator" w:id="0">
    <w:p w14:paraId="4D914EC1" w14:textId="77777777" w:rsidR="000C3DFD" w:rsidRDefault="000C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07CD" w14:textId="77777777" w:rsidR="00C123B4" w:rsidRDefault="00FA56AA">
    <w:pPr>
      <w:jc w:val="right"/>
    </w:pPr>
    <w:r>
      <w:rPr>
        <w:noProof/>
        <w:lang w:eastAsia="de-DE"/>
      </w:rPr>
      <mc:AlternateContent>
        <mc:Choice Requires="wpg">
          <w:drawing>
            <wp:inline distT="0" distB="0" distL="0" distR="0" wp14:anchorId="0AAA3D9F" wp14:editId="400AABBE">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746B6D97" wp14:editId="58582454">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487688B3" wp14:editId="0667213C">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775C"/>
    <w:multiLevelType w:val="multilevel"/>
    <w:tmpl w:val="C63C924C"/>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C0198B"/>
    <w:multiLevelType w:val="multilevel"/>
    <w:tmpl w:val="631E1270"/>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8C28F2"/>
    <w:multiLevelType w:val="multilevel"/>
    <w:tmpl w:val="2C6816F2"/>
    <w:lvl w:ilvl="0">
      <w:start w:val="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B53940"/>
    <w:multiLevelType w:val="multilevel"/>
    <w:tmpl w:val="0060D9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7917AF"/>
    <w:multiLevelType w:val="multilevel"/>
    <w:tmpl w:val="979E1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C4CD4"/>
    <w:multiLevelType w:val="multilevel"/>
    <w:tmpl w:val="469C5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F3CE8"/>
    <w:multiLevelType w:val="multilevel"/>
    <w:tmpl w:val="BF06FA84"/>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E2747A0"/>
    <w:multiLevelType w:val="multilevel"/>
    <w:tmpl w:val="3112E9C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C37B6C"/>
    <w:multiLevelType w:val="multilevel"/>
    <w:tmpl w:val="49C67F90"/>
    <w:lvl w:ilvl="0">
      <w:start w:val="1"/>
      <w:numFmt w:val="bullet"/>
      <w:lvlText w:val="-"/>
      <w:lvlJc w:val="left"/>
      <w:pPr>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C77C5"/>
    <w:multiLevelType w:val="multilevel"/>
    <w:tmpl w:val="176852F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B92F3A"/>
    <w:multiLevelType w:val="multilevel"/>
    <w:tmpl w:val="EE0A9670"/>
    <w:lvl w:ilvl="0">
      <w:start w:val="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3C1C38"/>
    <w:multiLevelType w:val="multilevel"/>
    <w:tmpl w:val="85A22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5C6B5E"/>
    <w:multiLevelType w:val="multilevel"/>
    <w:tmpl w:val="82F80ABA"/>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2C60F5"/>
    <w:multiLevelType w:val="multilevel"/>
    <w:tmpl w:val="CA281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C2E42"/>
    <w:multiLevelType w:val="multilevel"/>
    <w:tmpl w:val="C0BEE4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FFE1074"/>
    <w:multiLevelType w:val="multilevel"/>
    <w:tmpl w:val="B41E7F7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420FF3"/>
    <w:multiLevelType w:val="multilevel"/>
    <w:tmpl w:val="0A745948"/>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DF71E61"/>
    <w:multiLevelType w:val="multilevel"/>
    <w:tmpl w:val="4762F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443318"/>
    <w:multiLevelType w:val="multilevel"/>
    <w:tmpl w:val="AC0E3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30A61"/>
    <w:multiLevelType w:val="multilevel"/>
    <w:tmpl w:val="AA260FDE"/>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A872F8"/>
    <w:multiLevelType w:val="multilevel"/>
    <w:tmpl w:val="E9F4CA6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ED4AB6"/>
    <w:multiLevelType w:val="multilevel"/>
    <w:tmpl w:val="FE4EA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11"/>
  </w:num>
  <w:num w:numId="5">
    <w:abstractNumId w:val="18"/>
  </w:num>
  <w:num w:numId="6">
    <w:abstractNumId w:val="4"/>
  </w:num>
  <w:num w:numId="7">
    <w:abstractNumId w:val="5"/>
  </w:num>
  <w:num w:numId="8">
    <w:abstractNumId w:val="15"/>
  </w:num>
  <w:num w:numId="9">
    <w:abstractNumId w:val="20"/>
  </w:num>
  <w:num w:numId="10">
    <w:abstractNumId w:val="1"/>
  </w:num>
  <w:num w:numId="11">
    <w:abstractNumId w:val="8"/>
  </w:num>
  <w:num w:numId="12">
    <w:abstractNumId w:val="10"/>
  </w:num>
  <w:num w:numId="13">
    <w:abstractNumId w:val="2"/>
  </w:num>
  <w:num w:numId="14">
    <w:abstractNumId w:val="12"/>
  </w:num>
  <w:num w:numId="15">
    <w:abstractNumId w:val="13"/>
  </w:num>
  <w:num w:numId="16">
    <w:abstractNumId w:val="17"/>
  </w:num>
  <w:num w:numId="17">
    <w:abstractNumId w:val="19"/>
  </w:num>
  <w:num w:numId="18">
    <w:abstractNumId w:val="9"/>
  </w:num>
  <w:num w:numId="19">
    <w:abstractNumId w:val="3"/>
  </w:num>
  <w:num w:numId="20">
    <w:abstractNumId w:val="21"/>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B4"/>
    <w:rsid w:val="00007408"/>
    <w:rsid w:val="000A2996"/>
    <w:rsid w:val="000C3DFD"/>
    <w:rsid w:val="000F3497"/>
    <w:rsid w:val="002912F9"/>
    <w:rsid w:val="00292AB3"/>
    <w:rsid w:val="003D3984"/>
    <w:rsid w:val="003D610E"/>
    <w:rsid w:val="00426D17"/>
    <w:rsid w:val="004F72F7"/>
    <w:rsid w:val="00511962"/>
    <w:rsid w:val="0055286F"/>
    <w:rsid w:val="005C188A"/>
    <w:rsid w:val="006A19CF"/>
    <w:rsid w:val="00734758"/>
    <w:rsid w:val="0076294E"/>
    <w:rsid w:val="00772549"/>
    <w:rsid w:val="0081452A"/>
    <w:rsid w:val="00827705"/>
    <w:rsid w:val="008E334B"/>
    <w:rsid w:val="008F23F7"/>
    <w:rsid w:val="00900032"/>
    <w:rsid w:val="0091494C"/>
    <w:rsid w:val="0094671C"/>
    <w:rsid w:val="00975B9E"/>
    <w:rsid w:val="009A2E5B"/>
    <w:rsid w:val="00B70F2C"/>
    <w:rsid w:val="00C123B4"/>
    <w:rsid w:val="00C43B91"/>
    <w:rsid w:val="00CB1C35"/>
    <w:rsid w:val="00CC0B53"/>
    <w:rsid w:val="00D119CE"/>
    <w:rsid w:val="00D964D4"/>
    <w:rsid w:val="00F06599"/>
    <w:rsid w:val="00F449B5"/>
    <w:rsid w:val="00F45577"/>
    <w:rsid w:val="00FA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30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unhideWhenUsed/>
    <w:rPr>
      <w:rFonts w:ascii="Times New Roman" w:hAnsi="Times New Roman" w:cs="Times New Roman"/>
      <w:sz w:val="24"/>
      <w:szCs w:val="24"/>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C4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4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pb.de/themen/stadt-land/laendliche-raeume/335923/bildung-in-laendlichen-raeumen-und-die-rolle-der-lehrerbildung/" TargetMode="External"/><Relationship Id="rId13" Type="http://schemas.openxmlformats.org/officeDocument/2006/relationships/image" Target="media/image2.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bn-resolving.org/urn:nbn:de:0168-ssoar-285101"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bamberg.de/geo1/projekte-und-transfer/projekte/geographien-von-familien-und-lebenslaufgerechtes-wohn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tudysmarter.de/schule/geographie/humangeographie/staedtische-prozesse/" TargetMode="External"/><Relationship Id="rId4" Type="http://schemas.openxmlformats.org/officeDocument/2006/relationships/webSettings" Target="webSettings.xml"/><Relationship Id="rId9" Type="http://schemas.openxmlformats.org/officeDocument/2006/relationships/hyperlink" Target="https://doi.org/10.3929/ethz-b-000292831" TargetMode="External"/><Relationship Id="rId14"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1665</Words>
  <Characters>10493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2025-05-26T08:19:00Z</dcterms:created>
  <dcterms:modified xsi:type="dcterms:W3CDTF">2025-06-05T09:55:00Z</dcterms:modified>
</cp:coreProperties>
</file>